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22ae71a35b33a54d89287b2da8a0b5e98ceaba"/>
    <w:p>
      <w:pPr>
        <w:pStyle w:val="Heading1"/>
      </w:pPr>
      <w:r>
        <w:t xml:space="preserve">PROCEDURA OCENY EFEKTÓW UCZENIA (EWALUACJA SZKOLEŃ)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www.mediagroup.org.pl</w:t>
      </w:r>
    </w:p>
    <w:p>
      <w:r>
        <w:pict>
          <v:rect style="width:0;height:1.5pt" o:hralign="center" o:hrstd="t" o:hr="t"/>
        </w:pict>
      </w:r>
    </w:p>
    <w:bookmarkStart w:id="19" w:name="i.-cel-i-zakres"/>
    <w:p>
      <w:pPr>
        <w:pStyle w:val="Heading2"/>
      </w:pPr>
      <w:r>
        <w:t xml:space="preserve">I. CEL I ZAKRES</w:t>
      </w:r>
    </w:p>
    <w:p>
      <w:pPr>
        <w:pStyle w:val="FirstParagraph"/>
      </w:pPr>
      <w:r>
        <w:t xml:space="preserve">Niniejsza procedura określa zasady oceny efektów uczenia się w ramach warsztatów i szkoleń realizowanych przez Społeczną Grupę Medialną.</w:t>
      </w:r>
    </w:p>
    <w:p>
      <w:pPr>
        <w:pStyle w:val="BodyText"/>
      </w:pPr>
      <w:r>
        <w:rPr>
          <w:b/>
          <w:bCs/>
        </w:rPr>
        <w:t xml:space="preserve">Ewaluacja vs badanie satysfakcji:</w:t>
      </w:r>
      <w:r>
        <w:t xml:space="preserve"> </w:t>
      </w:r>
      <w:r>
        <w:t xml:space="preserve">Ewaluacja odpowiada na pytanie „W jakim stopniu usługa doprowadziła do realizacji zakładanych celów?” – nie tylko na satysfakcję uczestników. Entuzjastyczne opinie uczestników nie zastępują oceny realizacji celów; ewaluacja powinna mierzyć osiągnięcie celów szkolenia.</w:t>
      </w:r>
    </w:p>
    <w:p>
      <w:pPr>
        <w:pStyle w:val="BodyText"/>
      </w:pPr>
      <w:r>
        <w:rPr>
          <w:b/>
          <w:bCs/>
        </w:rPr>
        <w:t xml:space="preserve">Cele ewaluacji:</w:t>
      </w:r>
      <w:r>
        <w:t xml:space="preserve"> </w:t>
      </w:r>
      <w:r>
        <w:t xml:space="preserve">- ocena skuteczności procesu edukacyjnego w odniesieniu do zakładanych celów,</w:t>
      </w:r>
      <w:r>
        <w:t xml:space="preserve"> </w:t>
      </w:r>
      <w:r>
        <w:t xml:space="preserve">- wdrożenie wniosków dla kadry i programów,</w:t>
      </w:r>
      <w:r>
        <w:t xml:space="preserve"> </w:t>
      </w:r>
      <w:r>
        <w:t xml:space="preserve">- przekazanie wyników zleceniodawcy (szkolenia zamknięte),</w:t>
      </w:r>
      <w:r>
        <w:t xml:space="preserve"> </w:t>
      </w:r>
      <w:r>
        <w:t xml:space="preserve">- spełnienie wymagań w zakresie ewaluacji.</w:t>
      </w:r>
    </w:p>
    <w:p>
      <w:r>
        <w:pict>
          <v:rect style="width:0;height:1.5pt" o:hralign="center" o:hrstd="t" o:hr="t"/>
        </w:pict>
      </w:r>
    </w:p>
    <w:bookmarkEnd w:id="19"/>
    <w:bookmarkStart w:id="20" w:name="ii.-podstawa-ewaluacji"/>
    <w:p>
      <w:pPr>
        <w:pStyle w:val="Heading2"/>
      </w:pPr>
      <w:r>
        <w:t xml:space="preserve">II. PODSTAWA EWALUACJI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Programy szkoleń</w:t>
      </w:r>
      <w:r>
        <w:t xml:space="preserve"> </w:t>
      </w:r>
      <w:r>
        <w:t xml:space="preserve">– cele sformułowane w sposób mierzalny (język efektów uczenia się), co umożliwia ocenę stopnia ich osiągnięcia. Programy precyzyjnie określają efekty kształcenia.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Ankieta ewaluacyjna</w:t>
      </w:r>
      <w:r>
        <w:t xml:space="preserve"> </w:t>
      </w:r>
      <w:r>
        <w:t xml:space="preserve">– minimum: ocena trenera (wiedza merytoryczna, umiejętności dydaktyczne, użyteczność ćwiczeń), ocena materiałów, ocena organizacji; opcjonalnie: warunki sali/terenu.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Dodatkowe metody</w:t>
      </w:r>
      <w:r>
        <w:t xml:space="preserve"> </w:t>
      </w:r>
      <w:r>
        <w:t xml:space="preserve">– w zależności od oczekiwań zamawiającego: test wiedzy przed i po, wywiad, ocena rozłożona w czasie (np. po 3 miesiącach).</w:t>
      </w:r>
    </w:p>
    <w:p>
      <w:r>
        <w:pict>
          <v:rect style="width:0;height:1.5pt" o:hralign="center" o:hrstd="t" o:hr="t"/>
        </w:pict>
      </w:r>
    </w:p>
    <w:bookmarkEnd w:id="20"/>
    <w:bookmarkStart w:id="21" w:name="iii.-przeprowadzenie-ewaluacji"/>
    <w:p>
      <w:pPr>
        <w:pStyle w:val="Heading2"/>
      </w:pPr>
      <w:r>
        <w:t xml:space="preserve">III. PRZEPROWADZENIE EWALUACJI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4525"/>
        <w:gridCol w:w="169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Etap</w:t>
            </w:r>
          </w:p>
        </w:tc>
        <w:tc>
          <w:tcPr/>
          <w:p>
            <w:pPr>
              <w:pStyle w:val="Compact"/>
            </w:pPr>
            <w:r>
              <w:t xml:space="preserve">Odpowiedzialny</w:t>
            </w:r>
          </w:p>
        </w:tc>
        <w:tc>
          <w:tcPr/>
          <w:p>
            <w:pPr>
              <w:pStyle w:val="Compact"/>
            </w:pPr>
            <w:r>
              <w:t xml:space="preserve">Opis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Przygotowanie ankiety</w:t>
            </w:r>
          </w:p>
        </w:tc>
        <w:tc>
          <w:tcPr/>
          <w:p>
            <w:pPr>
              <w:pStyle w:val="Compact"/>
            </w:pPr>
            <w:r>
              <w:t xml:space="preserve">Opiekun merytoryczny we współpracy z trenerem</w:t>
            </w:r>
          </w:p>
        </w:tc>
        <w:tc>
          <w:tcPr/>
          <w:p>
            <w:pPr>
              <w:pStyle w:val="Compact"/>
            </w:pPr>
            <w:r>
              <w:t xml:space="preserve">Ankieta uwzględnia minimum: ocenę trenera, ocenę aspektów organizacyjnych (F5 – Ankieta ewaluacji szkolenia)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Przeprowadzenie badania</w:t>
            </w:r>
          </w:p>
        </w:tc>
        <w:tc>
          <w:tcPr/>
          <w:p>
            <w:pPr>
              <w:pStyle w:val="Compact"/>
            </w:pPr>
            <w:r>
              <w:t xml:space="preserve">Trener</w:t>
            </w:r>
          </w:p>
        </w:tc>
        <w:tc>
          <w:tcPr/>
          <w:p>
            <w:pPr>
              <w:pStyle w:val="Compact"/>
            </w:pPr>
            <w:r>
              <w:t xml:space="preserve">Rozdanie i zbieranie ankiet w ostatnim dniu szkolenia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Analiza i ocena</w:t>
            </w:r>
          </w:p>
        </w:tc>
        <w:tc>
          <w:tcPr/>
          <w:p>
            <w:pPr>
              <w:pStyle w:val="Compact"/>
            </w:pPr>
            <w:r>
              <w:t xml:space="preserve">Koordynator organizacyjny lub opiekun merytoryczny</w:t>
            </w:r>
          </w:p>
        </w:tc>
        <w:tc>
          <w:tcPr/>
          <w:p>
            <w:pPr>
              <w:pStyle w:val="Compact"/>
            </w:pPr>
            <w:r>
              <w:t xml:space="preserve">Kodowanie wyników, analiza, ocena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Raport</w:t>
            </w:r>
          </w:p>
        </w:tc>
        <w:tc>
          <w:tcPr/>
          <w:p>
            <w:pPr>
              <w:pStyle w:val="Compact"/>
            </w:pPr>
            <w:r>
              <w:t xml:space="preserve">Opiekun merytoryczny / Koordynator</w:t>
            </w:r>
          </w:p>
        </w:tc>
        <w:tc>
          <w:tcPr/>
          <w:p>
            <w:pPr>
              <w:pStyle w:val="Compact"/>
            </w:pPr>
            <w:r>
              <w:t xml:space="preserve">Protokół/raport podsumowujący wyniki (Szablon raportu z ewaluacji szkolenia)</w:t>
            </w:r>
          </w:p>
        </w:tc>
      </w:tr>
    </w:tbl>
    <w:p>
      <w:pPr>
        <w:pStyle w:val="BodyText"/>
      </w:pPr>
      <w:r>
        <w:rPr>
          <w:b/>
          <w:bCs/>
        </w:rPr>
        <w:t xml:space="preserve">Opcjonalna struktura raportu:</w:t>
      </w:r>
      <w:r>
        <w:t xml:space="preserve"> </w:t>
      </w:r>
      <w:r>
        <w:t xml:space="preserve">stopień realizacji celów, opis przebiegu, uwagi o przebiegu, charakterystyka grupy, rekomendacje dla zamawiającego.</w:t>
      </w:r>
    </w:p>
    <w:p>
      <w:r>
        <w:pict>
          <v:rect style="width:0;height:1.5pt" o:hralign="center" o:hrstd="t" o:hr="t"/>
        </w:pict>
      </w:r>
    </w:p>
    <w:bookmarkEnd w:id="21"/>
    <w:bookmarkStart w:id="22" w:name="iv.-udostępnianie-wyników"/>
    <w:p>
      <w:pPr>
        <w:pStyle w:val="Heading2"/>
      </w:pPr>
      <w:r>
        <w:t xml:space="preserve">IV. UDOSTĘPNIANIE WYNIKÓW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Kadra prowadząca</w:t>
      </w:r>
      <w:r>
        <w:t xml:space="preserve"> </w:t>
      </w:r>
      <w:r>
        <w:t xml:space="preserve">– wyniki przekazywane trenerowi i dyskutowane z opiekunem merytorycznym w ramach konsultacji – wdrożenie wniosków, rekomendacje dot. ulepszania programu, scenariusza, pracy trenera.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Zleceniodawca (szkolenia zamknięte)</w:t>
      </w:r>
      <w:r>
        <w:t xml:space="preserve"> </w:t>
      </w:r>
      <w:r>
        <w:t xml:space="preserve">– raporty zawierające ocenę efektów uczenia udostępniane zlecającej instytucji (forma uzgodniona: raport pisemny, prezentacja, spotkanie). Raport może zawierać rekomendacje wspierające utrwalanie efektów (np. dalsze szkolenia, sytuacje do stosowania kompetencji, uznanie w ocenach okresowych).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Publikacja</w:t>
      </w:r>
      <w:r>
        <w:t xml:space="preserve"> </w:t>
      </w:r>
      <w:r>
        <w:t xml:space="preserve">– na stronie www.mediagroup.org.pl podsumowania działań ewaluacyjnych, referencje i opinie uczestników (z zachowaniem RODO).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RODO:</w:t>
      </w:r>
      <w:r>
        <w:t xml:space="preserve"> </w:t>
      </w:r>
      <w:r>
        <w:t xml:space="preserve">Przy zbieraniu, przechowywaniu ankiet i udostępnianiu wyników stosowane są zasady ochrony danych osobowych.</w:t>
      </w:r>
    </w:p>
    <w:p>
      <w:r>
        <w:pict>
          <v:rect style="width:0;height:1.5pt" o:hralign="center" o:hrstd="t" o:hr="t"/>
        </w:pict>
      </w:r>
    </w:p>
    <w:bookmarkEnd w:id="22"/>
    <w:bookmarkStart w:id="23" w:name="v.-wnioski-i-doskonalenie"/>
    <w:p>
      <w:pPr>
        <w:pStyle w:val="Heading2"/>
      </w:pPr>
      <w:r>
        <w:t xml:space="preserve">V. WNIOSKI I DOSKONALENIE</w:t>
      </w:r>
    </w:p>
    <w:p>
      <w:pPr>
        <w:pStyle w:val="Compact"/>
        <w:numPr>
          <w:ilvl w:val="0"/>
          <w:numId w:val="1003"/>
        </w:numPr>
      </w:pPr>
      <w:r>
        <w:t xml:space="preserve">Wyniki ewaluacji stanowią podstawę</w:t>
      </w:r>
      <w:r>
        <w:t xml:space="preserve"> </w:t>
      </w:r>
      <w:r>
        <w:rPr>
          <w:b/>
          <w:bCs/>
        </w:rPr>
        <w:t xml:space="preserve">oceny kadry</w:t>
      </w:r>
      <w:r>
        <w:t xml:space="preserve"> </w:t>
      </w:r>
      <w:r>
        <w:t xml:space="preserve">oraz</w:t>
      </w:r>
      <w:r>
        <w:t xml:space="preserve"> </w:t>
      </w:r>
      <w:r>
        <w:rPr>
          <w:b/>
          <w:bCs/>
        </w:rPr>
        <w:t xml:space="preserve">procedury zapewniania jakości</w:t>
      </w:r>
      <w:r>
        <w:t xml:space="preserve"> </w:t>
      </w:r>
      <w:r>
        <w:t xml:space="preserve">– wnioski włączane do analizy jakości i planów doskonalenia.</w:t>
      </w:r>
    </w:p>
    <w:p>
      <w:pPr>
        <w:pStyle w:val="Compact"/>
        <w:numPr>
          <w:ilvl w:val="0"/>
          <w:numId w:val="1003"/>
        </w:numPr>
      </w:pPr>
      <w:r>
        <w:t xml:space="preserve">Reklamacje i powtarzające się niskie oceny analizowane pod kątem przyczyn i działań korygujących.</w:t>
      </w:r>
    </w:p>
    <w:p>
      <w:pPr>
        <w:pStyle w:val="Compact"/>
        <w:numPr>
          <w:ilvl w:val="0"/>
          <w:numId w:val="1003"/>
        </w:numPr>
      </w:pPr>
      <w:r>
        <w:t xml:space="preserve">Procedura wewnętrzna zapewniania jakości wykorzystuje wnioski z ewaluacji szkoleń w odniesieniu do zakładanych celów.</w:t>
      </w:r>
    </w:p>
    <w:p>
      <w:r>
        <w:pict>
          <v:rect style="width:0;height:1.5pt" o:hralign="center" o:hrstd="t" o:hr="t"/>
        </w:pict>
      </w:r>
    </w:p>
    <w:bookmarkEnd w:id="23"/>
    <w:bookmarkStart w:id="24" w:name="vi.-dokumentacja"/>
    <w:p>
      <w:pPr>
        <w:pStyle w:val="Heading2"/>
      </w:pPr>
      <w:r>
        <w:t xml:space="preserve">VI. DOKUMENTACJA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Przechowywane:</w:t>
      </w:r>
      <w:r>
        <w:t xml:space="preserve"> </w:t>
      </w:r>
      <w:r>
        <w:t xml:space="preserve">ankiety ewaluacyjne (lub zestawienie), raport z ewaluacji dla każdego szkolenia.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Okres przechowywania</w:t>
      </w:r>
      <w:r>
        <w:t xml:space="preserve"> </w:t>
      </w:r>
      <w:r>
        <w:t xml:space="preserve">– zgodnie z polityką archiwizacji i wymogami audytu MSUES.</w:t>
      </w:r>
    </w:p>
    <w:p>
      <w:pPr>
        <w:pStyle w:val="Compact"/>
        <w:numPr>
          <w:ilvl w:val="0"/>
          <w:numId w:val="1004"/>
        </w:numPr>
      </w:pPr>
      <w:r>
        <w:t xml:space="preserve">Dokumentacja ewaluacji stanowi</w:t>
      </w:r>
      <w:r>
        <w:t xml:space="preserve"> </w:t>
      </w:r>
      <w:r>
        <w:rPr>
          <w:b/>
          <w:bCs/>
        </w:rPr>
        <w:t xml:space="preserve">dowód</w:t>
      </w:r>
      <w:r>
        <w:t xml:space="preserve"> </w:t>
      </w:r>
      <w:r>
        <w:t xml:space="preserve">na spełnienie wymagań w zakresie ewaluacji.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Numer wersji: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Data wersji:</w:t>
      </w:r>
      <w:r>
        <w:t xml:space="preserve"> </w:t>
      </w:r>
      <w:r>
        <w:t xml:space="preserve">19.02.2026</w:t>
      </w:r>
      <w:r>
        <w:br/>
      </w:r>
      <w:r>
        <w:rPr>
          <w:b/>
          <w:bCs/>
        </w:rPr>
        <w:t xml:space="preserve">Data przyjęcia dokumentu w pierwotnej wersji:</w:t>
      </w:r>
      <w:r>
        <w:t xml:space="preserve"> </w:t>
      </w:r>
      <w:r>
        <w:t xml:space="preserve">19.02.2026</w:t>
      </w:r>
    </w:p>
    <w:bookmarkEnd w:id="24"/>
    <w:bookmarkEnd w:id="25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2026-02-20T10:36:41Z</dcterms:created>
  <dcterms:modified xsi:type="dcterms:W3CDTF">2026-02-20T10:36:41Z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