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procedura-realizacji-usług-szkoleniowych"/>
    <w:p>
      <w:pPr>
        <w:pStyle w:val="Heading1"/>
      </w:pPr>
      <w:r>
        <w:t xml:space="preserve">PROCEDURA REALIZACJI USŁUG SZKOLENIOWYCH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Społeczna Grupa Medialna Sp. z o.o.</w:t>
      </w:r>
      <w:r>
        <w:br/>
      </w:r>
      <w:r>
        <w:t xml:space="preserve">ul. Marszałkowska 31, 42-400 Zawiercie | www.mediagroup.org.pl</w:t>
      </w:r>
    </w:p>
    <w:p>
      <w:r>
        <w:pict>
          <v:rect style="width:0;height:1.5pt" o:hralign="center" o:hrstd="t" o:hr="t"/>
        </w:pict>
      </w:r>
    </w:p>
    <w:bookmarkStart w:id="19" w:name="i.-wstęp-i-zakres"/>
    <w:p>
      <w:pPr>
        <w:pStyle w:val="Heading2"/>
      </w:pPr>
      <w:r>
        <w:t xml:space="preserve">I. WSTĘP I ZAKRES</w:t>
      </w:r>
    </w:p>
    <w:p>
      <w:pPr>
        <w:pStyle w:val="FirstParagraph"/>
      </w:pPr>
      <w:r>
        <w:t xml:space="preserve">Niniejsza procedura określa warunki realizacji usług szkoleniowych świadczonych przez Społeczną Grupę Medialną. Procedura stanowi spis czynności, do których przypisane są role odpowiedzialne za ich wykonanie. Realizujemy warsztaty i szkolenia zamknięte na zlecenie zamawiającego (szkoły, placówki, instytucje) oraz w ramach projektów grantowych (FIO, ACF, Erasmus+ itd.).</w:t>
      </w:r>
    </w:p>
    <w:p>
      <w:r>
        <w:pict>
          <v:rect style="width:0;height:1.5pt" o:hralign="center" o:hrstd="t" o:hr="t"/>
        </w:pict>
      </w:r>
    </w:p>
    <w:bookmarkEnd w:id="19"/>
    <w:bookmarkStart w:id="26" w:name="ii.-organizacja-usług-szkoleniowych"/>
    <w:p>
      <w:pPr>
        <w:pStyle w:val="Heading2"/>
      </w:pPr>
      <w:r>
        <w:t xml:space="preserve">II. ORGANIZACJA USŁUG SZKOLENIOWYCH</w:t>
      </w:r>
    </w:p>
    <w:bookmarkStart w:id="20" w:name="związek-oferty-z-potrzebami"/>
    <w:p>
      <w:pPr>
        <w:pStyle w:val="Heading3"/>
      </w:pPr>
      <w:r>
        <w:t xml:space="preserve">Związek oferty z potrzebami</w:t>
      </w:r>
    </w:p>
    <w:p>
      <w:pPr>
        <w:pStyle w:val="FirstParagraph"/>
      </w:pPr>
      <w:r>
        <w:t xml:space="preserve">Związek oferty szkoleń z potrzebami i oczekiwaniami potencjalnych odbiorców jest uzasadniany odwołaniem do źródeł wykraczających poza własną opinię: wnioski projektowe, raporty o świadomości ekologicznej, założenia Nowego Zielonego Ładu, ogólnodostępne publikacje, kontakt ze szkołami i placówkami.</w:t>
      </w:r>
    </w:p>
    <w:bookmarkEnd w:id="20"/>
    <w:bookmarkStart w:id="21" w:name="kontakt-przed-szkoleniem"/>
    <w:p>
      <w:pPr>
        <w:pStyle w:val="Heading3"/>
      </w:pPr>
      <w:r>
        <w:t xml:space="preserve">Kontakt przed szkoleniem</w:t>
      </w:r>
    </w:p>
    <w:p>
      <w:pPr>
        <w:pStyle w:val="FirstParagraph"/>
      </w:pPr>
      <w:r>
        <w:t xml:space="preserve">SGM kontaktuje się z zamawiającym i/lub uczestnikami przed rozpoczęciem warsztatu i zbiera uzupełniające informacje o potrzebach (e-mail, ankieta, notatka z rozmowy). Dokumentacja kontaktu przechowywana jest w teczce szkolenia.</w:t>
      </w:r>
    </w:p>
    <w:bookmarkEnd w:id="21"/>
    <w:bookmarkStart w:id="22" w:name="etapy-realizacji-szkoleń-zamkniętych"/>
    <w:p>
      <w:pPr>
        <w:pStyle w:val="Heading3"/>
      </w:pPr>
      <w:r>
        <w:t xml:space="preserve">Etapy realizacji szkoleń zamkniętych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Badanie potrzeb szkoleniowych</w:t>
      </w:r>
      <w:r>
        <w:t xml:space="preserve"> </w:t>
      </w:r>
      <w:r>
        <w:t xml:space="preserve">– wyniki w notatce lub raporcie zawierającej: informacje o uczestnikach (w tym wyjściowy poziom kompetencji rozwijanych w trakcie szkolenia), informacje o oczekiwaniach zamawiającego (pożądane rezultaty i obszar stosowania).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Określenie celów i zasad szkolenia</w:t>
      </w:r>
      <w:r>
        <w:t xml:space="preserve"> </w:t>
      </w:r>
      <w:r>
        <w:t xml:space="preserve">– cele w formie efektów uczenia, mierzalne. Cele konkretne (specific), mierzalne (measurable), ambitne lecz realistyczne (ambitious, realistic), z ramami czasowymi (timed) – kryteria SMART. Wzór:</w:t>
      </w:r>
      <w:r>
        <w:t xml:space="preserve"> </w:t>
      </w:r>
      <w:r>
        <w:rPr>
          <w:b/>
          <w:bCs/>
        </w:rPr>
        <w:t xml:space="preserve">cel główny</w:t>
      </w:r>
      <w:r>
        <w:t xml:space="preserve"> </w:t>
      </w:r>
      <w:r>
        <w:t xml:space="preserve">(np. „Przygotowanie uczestników do X”) +</w:t>
      </w:r>
      <w:r>
        <w:t xml:space="preserve"> </w:t>
      </w:r>
      <w:r>
        <w:rPr>
          <w:b/>
          <w:bCs/>
        </w:rPr>
        <w:t xml:space="preserve">cele szczegółowe</w:t>
      </w:r>
      <w:r>
        <w:t xml:space="preserve"> </w:t>
      </w:r>
      <w:r>
        <w:t xml:space="preserve">(uczestnicy: zrozumieją…, poznają…, nauczą się…, wzmocnią…).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Charakterystyka grupy docelowej</w:t>
      </w:r>
      <w:r>
        <w:t xml:space="preserve"> </w:t>
      </w:r>
      <w:r>
        <w:t xml:space="preserve">– rekrutacja lub określenie odbiorców.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Wybór kadry szkoleniowej</w:t>
      </w:r>
      <w:r>
        <w:t xml:space="preserve"> </w:t>
      </w:r>
      <w:r>
        <w:t xml:space="preserve">– wymagania zgodne z Procedurą rekrutacji.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Wybór miejsca</w:t>
      </w:r>
      <w:r>
        <w:t xml:space="preserve"> </w:t>
      </w:r>
      <w:r>
        <w:t xml:space="preserve">(sala lub teren – patrz sekcja III) oraz przygotowanie (lista sprawdzająca).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Przeprowadzenie szkolenia</w:t>
      </w:r>
      <w:r>
        <w:t xml:space="preserve"> </w:t>
      </w:r>
      <w:r>
        <w:t xml:space="preserve">– zgodnie z programem i harmonogramem.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Podsumowanie i ewaluacja</w:t>
      </w:r>
      <w:r>
        <w:t xml:space="preserve"> </w:t>
      </w:r>
      <w:r>
        <w:t xml:space="preserve">– procedura oceny efektów uczenia.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Przygotowanie raportu</w:t>
      </w:r>
      <w:r>
        <w:t xml:space="preserve"> </w:t>
      </w:r>
      <w:r>
        <w:t xml:space="preserve">– raport z ewaluacji dla kadry i zleceniodawcy.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Rozliczenie</w:t>
      </w:r>
      <w:r>
        <w:t xml:space="preserve"> </w:t>
      </w:r>
      <w:r>
        <w:t xml:space="preserve">– dokumentacja i archiwizacja.</w:t>
      </w:r>
    </w:p>
    <w:bookmarkEnd w:id="22"/>
    <w:bookmarkStart w:id="23" w:name="materiały-szkoleniowe"/>
    <w:p>
      <w:pPr>
        <w:pStyle w:val="Heading3"/>
      </w:pPr>
      <w:r>
        <w:t xml:space="preserve">Materiały szkoleniowe</w:t>
      </w:r>
    </w:p>
    <w:p>
      <w:pPr>
        <w:pStyle w:val="Compact"/>
        <w:numPr>
          <w:ilvl w:val="0"/>
          <w:numId w:val="1002"/>
        </w:numPr>
      </w:pPr>
      <w:r>
        <w:t xml:space="preserve">Uczestnicy otrzymują materiały zawierające podsumowanie treści szkolenia, listę literatury/odsyłaczy oraz rekomendacje dalszej lektury.</w:t>
      </w:r>
    </w:p>
    <w:p>
      <w:pPr>
        <w:pStyle w:val="Compact"/>
        <w:numPr>
          <w:ilvl w:val="0"/>
          <w:numId w:val="1002"/>
        </w:numPr>
      </w:pPr>
      <w:r>
        <w:t xml:space="preserve">Materiały wspomagające kształcenie wykorzystywane są z respektowaniem praw autorskich (przywołanie autora i źródła).</w:t>
      </w:r>
    </w:p>
    <w:p>
      <w:pPr>
        <w:pStyle w:val="Compact"/>
        <w:numPr>
          <w:ilvl w:val="0"/>
          <w:numId w:val="1002"/>
        </w:numPr>
      </w:pPr>
      <w:r>
        <w:t xml:space="preserve">Opiekun merytoryczny odpowiada za eliminację treści pseudonaukowych w materiałach.</w:t>
      </w:r>
    </w:p>
    <w:p>
      <w:pPr>
        <w:pStyle w:val="Compact"/>
        <w:numPr>
          <w:ilvl w:val="0"/>
          <w:numId w:val="1002"/>
        </w:numPr>
      </w:pPr>
      <w:r>
        <w:t xml:space="preserve">Przed realizacją opiekun merytoryczny sprawdza dokumenty i materiały.</w:t>
      </w:r>
    </w:p>
    <w:bookmarkEnd w:id="23"/>
    <w:bookmarkStart w:id="24" w:name="metody-kształcenia"/>
    <w:p>
      <w:pPr>
        <w:pStyle w:val="Heading3"/>
      </w:pPr>
      <w:r>
        <w:t xml:space="preserve">Metody kształcenia</w:t>
      </w:r>
    </w:p>
    <w:p>
      <w:pPr>
        <w:pStyle w:val="Compact"/>
        <w:numPr>
          <w:ilvl w:val="0"/>
          <w:numId w:val="1003"/>
        </w:numPr>
      </w:pPr>
      <w:r>
        <w:t xml:space="preserve">Różnorodne, angażujące metody dostosowane do specyfiki edukacji ekologicznej i sytuacji uczących się osób dorosłych.</w:t>
      </w:r>
    </w:p>
    <w:p>
      <w:pPr>
        <w:pStyle w:val="Compact"/>
        <w:numPr>
          <w:ilvl w:val="0"/>
          <w:numId w:val="1003"/>
        </w:numPr>
      </w:pPr>
      <w:r>
        <w:t xml:space="preserve">Stosowane metody adekwatne do deklarowanych rezultatów, treści szkolenia oraz specyfiki grupy.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Mapowanie metod do typu celu:</w:t>
      </w:r>
      <w:r>
        <w:t xml:space="preserve"> </w:t>
      </w:r>
      <w:r>
        <w:t xml:space="preserve">cele dotyczące wiedzy → instruktaże, dyskusje, studium przypadku; cele dotyczące umiejętności → ćwiczenia, demonstracje, informacja zwrotna; cele dotyczące postaw → doświadczenia, dyskusje.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Katalog metod</w:t>
      </w:r>
      <w:r>
        <w:t xml:space="preserve"> </w:t>
      </w:r>
      <w:r>
        <w:t xml:space="preserve">stosowanych m.in. przez ZS: dyskusja, studium przypadku, ćwiczenie laboratoryjne, ćwiczenie treningowe, odgrywanie ról, demonstracja, zespołowe wypracowanie rozwiązań – oraz warsztaty, zajęcia terenowe, design thinking.</w:t>
      </w:r>
    </w:p>
    <w:p>
      <w:pPr>
        <w:pStyle w:val="Compact"/>
        <w:numPr>
          <w:ilvl w:val="0"/>
          <w:numId w:val="1003"/>
        </w:numPr>
      </w:pPr>
      <w:r>
        <w:t xml:space="preserve">Przykłady: warsztaty, zajęcia terenowe, design thinking, ćwiczenia praktyczne, dyskusje.</w:t>
      </w:r>
    </w:p>
    <w:bookmarkEnd w:id="24"/>
    <w:bookmarkStart w:id="25" w:name="wsparcie-w-utrwalaniu-efektów"/>
    <w:p>
      <w:pPr>
        <w:pStyle w:val="Heading3"/>
      </w:pPr>
      <w:r>
        <w:t xml:space="preserve">Wsparcie w utrwalaniu efektów</w:t>
      </w:r>
    </w:p>
    <w:p>
      <w:pPr>
        <w:pStyle w:val="FirstParagraph"/>
      </w:pPr>
      <w:r>
        <w:t xml:space="preserve">Uczestnicy otrzymują co najmniej jedną formę wsparcia: rekomendacje działań ekologicznych, materiały do samodzielnej pracy, scenariusze do wykorzystania w placówce, kontakt do trenera, wskazówki dotyczące samokształcenia. Dodatkowo można uwzględnić: informacje o kolejnych krokach na ścieżce kształcenia, zestawienie literatury przedmiotu, informacje o możliwości certyfikacji/walidacji, sesję planowania dalszego rozwoju na zakończenie, ćwiczenia wdrożeniowe w naturalnych warunkach, opracowanie rozwiązania problemu – oraz spotkania poszkoleniowe jako formę ewaluacji i wsparcia wdrożenia.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iii.-role-w-realizacji-usługi"/>
    <w:p>
      <w:pPr>
        <w:pStyle w:val="Heading2"/>
      </w:pPr>
      <w:r>
        <w:t xml:space="preserve">III. ROLE W REALIZACJI USŁUGI</w:t>
      </w:r>
    </w:p>
    <w:p>
      <w:pPr>
        <w:pStyle w:val="FirstParagraph"/>
      </w:pPr>
      <w:r>
        <w:t xml:space="preserve">Procedura definiuje role przypisane do czynności realizacji usługi: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Opiekun merytoryczny (kierownik merytoryczny)</w:t>
      </w:r>
      <w:r>
        <w:t xml:space="preserve"> </w:t>
      </w:r>
      <w:r>
        <w:t xml:space="preserve">– odpowiedzialny za nadzór nad treścią i rezultatami szkolenia: rzetelność treści, adekwatność metod pracy, nadzór nad identyfikacją potrzeb i procesem ewaluacji. Funkcja może być pełniona przez osobę prowadzącą szkolenie. Każda usługa objęta jest nadzorem opiekuna merytorycznego.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Koordynator organizacyjny</w:t>
      </w:r>
      <w:r>
        <w:t xml:space="preserve"> </w:t>
      </w:r>
      <w:r>
        <w:t xml:space="preserve">– odpowiedzialny za zarządzanie informacją, kontakt z klientem/uczestnikami i organizację usługi (logistyka, sala, materiały, harmonogram).</w:t>
      </w:r>
    </w:p>
    <w:p>
      <w:pPr>
        <w:pStyle w:val="FirstParagraph"/>
      </w:pPr>
      <w:r>
        <w:rPr>
          <w:b/>
          <w:bCs/>
        </w:rPr>
        <w:t xml:space="preserve">Wymóg MSUES:</w:t>
      </w:r>
      <w:r>
        <w:t xml:space="preserve"> </w:t>
      </w:r>
      <w:r>
        <w:t xml:space="preserve">Dla szkoleń trwających dłużej niż 16 godzin role opiekuna merytorycznego i koordynatora organizacyjnego</w:t>
      </w:r>
      <w:r>
        <w:t xml:space="preserve"> </w:t>
      </w:r>
      <w:r>
        <w:rPr>
          <w:b/>
          <w:bCs/>
        </w:rPr>
        <w:t xml:space="preserve">nie są łączone</w:t>
      </w:r>
      <w:r>
        <w:t xml:space="preserve"> </w:t>
      </w:r>
      <w:r>
        <w:t xml:space="preserve">przez jedną osobę.</w:t>
      </w:r>
    </w:p>
    <w:p>
      <w:pPr>
        <w:pStyle w:val="BodyText"/>
      </w:pPr>
      <w:r>
        <w:t xml:space="preserve">Każde szkolenie objęte jest nadzorem opiekuna merytorycznego. Trenerzy posiadają doświadczenie zawodowe lub wykształcenie odpowiednie do zakresu (edukacja ekologiczna). Ocena kompetencji – na podstawie CV, dyplomów, certyfikatów, zaświadczeń (Procedura rekrutacji, Procedura zapewniania jakości).</w:t>
      </w:r>
    </w:p>
    <w:p>
      <w:r>
        <w:pict>
          <v:rect style="width:0;height:1.5pt" o:hralign="center" o:hrstd="t" o:hr="t"/>
        </w:pict>
      </w:r>
    </w:p>
    <w:bookmarkEnd w:id="27"/>
    <w:bookmarkStart w:id="28" w:name="X4f1d4008c1e95336ded2303cd6b4f8982b4ca26"/>
    <w:p>
      <w:pPr>
        <w:pStyle w:val="Heading2"/>
      </w:pPr>
      <w:r>
        <w:t xml:space="preserve">IV. WARUNKI POMIESZCZEŃ i zajęć terenowych</w:t>
      </w:r>
    </w:p>
    <w:p>
      <w:pPr>
        <w:pStyle w:val="FirstParagraph"/>
      </w:pPr>
      <w:r>
        <w:rPr>
          <w:b/>
          <w:bCs/>
        </w:rPr>
        <w:t xml:space="preserve">Szkolenia w sali:</w:t>
      </w:r>
      <w:r>
        <w:t xml:space="preserve"> </w:t>
      </w:r>
      <w:r>
        <w:t xml:space="preserve">Odbywają się w pomieszczeniach spełniających wymagania. Koordynator lub opiekun przed szkoleniem weryfikuje spełnienie (checklist – Lista sprawdzająca salę szkoleniową lub zapis w protokole).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Powierzchnia</w:t>
      </w:r>
      <w:r>
        <w:t xml:space="preserve"> </w:t>
      </w:r>
      <w:r>
        <w:t xml:space="preserve">– min. ok. 2 m² na osobę przy pracy przy stolikach.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Oświetlenie</w:t>
      </w:r>
      <w:r>
        <w:t xml:space="preserve"> </w:t>
      </w:r>
      <w:r>
        <w:t xml:space="preserve">– naturalne i/lub sztuczne, komfort pracy.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Temperatura i wentylacja</w:t>
      </w:r>
      <w:r>
        <w:t xml:space="preserve"> </w:t>
      </w:r>
      <w:r>
        <w:t xml:space="preserve">– odpowiednia do pracy grupowej.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Hałas</w:t>
      </w:r>
      <w:r>
        <w:t xml:space="preserve"> </w:t>
      </w:r>
      <w:r>
        <w:t xml:space="preserve">– izolacja od uciążliwego hałasu.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Czystość</w:t>
      </w:r>
      <w:r>
        <w:t xml:space="preserve"> </w:t>
      </w:r>
      <w:r>
        <w:t xml:space="preserve">– sala i sanitariaty w czystości.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Sanitariaty</w:t>
      </w:r>
      <w:r>
        <w:t xml:space="preserve"> </w:t>
      </w:r>
      <w:r>
        <w:t xml:space="preserve">– dostęp do toalet i umywalni.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Umeblowanie</w:t>
      </w:r>
      <w:r>
        <w:t xml:space="preserve"> </w:t>
      </w:r>
      <w:r>
        <w:t xml:space="preserve">– krzesła, stoły umożliwiające notowanie i pracę w grupach.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Dostępność dla osób niepełnosprawnych</w:t>
      </w:r>
      <w:r>
        <w:t xml:space="preserve"> </w:t>
      </w:r>
      <w:r>
        <w:t xml:space="preserve">– gdy sala/teren nie spełnia wymagań dostępności, uzasadnienie odnotowuje się w dokumentacji (protokół, checklist).</w:t>
      </w:r>
    </w:p>
    <w:p>
      <w:pPr>
        <w:pStyle w:val="FirstParagraph"/>
      </w:pPr>
      <w:r>
        <w:rPr>
          <w:b/>
          <w:bCs/>
        </w:rPr>
        <w:t xml:space="preserve">Zajęcia terenowe (ekopatrole, wyjścia przyrodnicze):</w:t>
      </w:r>
      <w:r>
        <w:t xml:space="preserve"> </w:t>
      </w:r>
      <w:r>
        <w:t xml:space="preserve">W uzasadnionych przypadkach warsztaty odbywają się w terenie. Odstępstwa od wymagań sali są opisane w procedurze i uzgodnione z zamawiającym. Stosuje się checklist alternatywny (warunki bezpieczeństwa, dostępność środków, pogoda). W przypadku złej pogody stosuje się Procedurę nieprzewidzianych trudności (przełożenie, zmiana formy).</w:t>
      </w:r>
    </w:p>
    <w:p>
      <w:r>
        <w:pict>
          <v:rect style="width:0;height:1.5pt" o:hralign="center" o:hrstd="t" o:hr="t"/>
        </w:pict>
      </w:r>
    </w:p>
    <w:bookmarkEnd w:id="28"/>
    <w:bookmarkStart w:id="29" w:name="v.-zasady-harmonogramów"/>
    <w:p>
      <w:pPr>
        <w:pStyle w:val="Heading2"/>
      </w:pPr>
      <w:r>
        <w:t xml:space="preserve">V. ZASADY HARMONOGRAMÓW</w:t>
      </w:r>
    </w:p>
    <w:p>
      <w:pPr>
        <w:pStyle w:val="FirstParagraph"/>
      </w:pPr>
      <w:r>
        <w:t xml:space="preserve">Harmonogramy spełniają wymagania higieny pracy umysłowej i komfortu uczestników: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Moduł/zjazd</w:t>
      </w:r>
      <w:r>
        <w:t xml:space="preserve"> </w:t>
      </w:r>
      <w:r>
        <w:t xml:space="preserve">– czas trwania jednego modułu nie przekracza</w:t>
      </w:r>
      <w:r>
        <w:t xml:space="preserve"> </w:t>
      </w:r>
      <w:r>
        <w:rPr>
          <w:b/>
          <w:bCs/>
        </w:rPr>
        <w:t xml:space="preserve">5 następujących po sobie dni</w:t>
      </w:r>
      <w:r>
        <w:t xml:space="preserve">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Dzienny wymiar</w:t>
      </w:r>
      <w:r>
        <w:t xml:space="preserve"> </w:t>
      </w:r>
      <w:r>
        <w:t xml:space="preserve">– zajęcia łącznie z przerwami nie przekraczają</w:t>
      </w:r>
      <w:r>
        <w:t xml:space="preserve"> </w:t>
      </w:r>
      <w:r>
        <w:rPr>
          <w:b/>
          <w:bCs/>
        </w:rPr>
        <w:t xml:space="preserve">8 godzin zegarowych</w:t>
      </w:r>
      <w:r>
        <w:t xml:space="preserve"> </w:t>
      </w:r>
      <w:r>
        <w:t xml:space="preserve">w ciągu jednego dnia.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Przerwy:</w:t>
      </w:r>
    </w:p>
    <w:p>
      <w:pPr>
        <w:pStyle w:val="Compact"/>
        <w:numPr>
          <w:ilvl w:val="1"/>
          <w:numId w:val="1007"/>
        </w:numPr>
      </w:pPr>
      <w:r>
        <w:t xml:space="preserve">regularne przerwy w ilości</w:t>
      </w:r>
      <w:r>
        <w:t xml:space="preserve"> </w:t>
      </w:r>
      <w:r>
        <w:rPr>
          <w:b/>
          <w:bCs/>
        </w:rPr>
        <w:t xml:space="preserve">nie mniejszej niż 15 minut na 2 godziny zegarowe</w:t>
      </w:r>
      <w:r>
        <w:t xml:space="preserve">;</w:t>
      </w:r>
    </w:p>
    <w:p>
      <w:pPr>
        <w:pStyle w:val="Compact"/>
        <w:numPr>
          <w:ilvl w:val="1"/>
          <w:numId w:val="1007"/>
        </w:numPr>
      </w:pPr>
      <w:r>
        <w:t xml:space="preserve">przy zajęciach</w:t>
      </w:r>
      <w:r>
        <w:t xml:space="preserve"> </w:t>
      </w:r>
      <w:r>
        <w:rPr>
          <w:b/>
          <w:bCs/>
        </w:rPr>
        <w:t xml:space="preserve">trwających dłużej niż 6 godzin zegarowych</w:t>
      </w:r>
      <w:r>
        <w:t xml:space="preserve"> </w:t>
      </w:r>
      <w:r>
        <w:t xml:space="preserve">– co najmniej</w:t>
      </w:r>
      <w:r>
        <w:t xml:space="preserve"> </w:t>
      </w:r>
      <w:r>
        <w:rPr>
          <w:b/>
          <w:bCs/>
        </w:rPr>
        <w:t xml:space="preserve">jedna przerwa 45 minut</w:t>
      </w:r>
      <w:r>
        <w:t xml:space="preserve">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Szczególne potrzeby uczestników</w:t>
      </w:r>
      <w:r>
        <w:t xml:space="preserve"> </w:t>
      </w:r>
      <w:r>
        <w:t xml:space="preserve">– harmonogramy uwzględniają m.in. obowiązki zawodowo-rodzinne, kwestie połączeń komunikacyjnych i czasu dojazdu (w miarę możliwości).</w:t>
      </w:r>
    </w:p>
    <w:p>
      <w:pPr>
        <w:pStyle w:val="FirstParagraph"/>
      </w:pPr>
      <w:r>
        <w:rPr>
          <w:i/>
          <w:iCs/>
        </w:rPr>
        <w:t xml:space="preserve">Dopuszczalne odstępstwa</w:t>
      </w:r>
      <w:r>
        <w:t xml:space="preserve"> </w:t>
      </w:r>
      <w:r>
        <w:t xml:space="preserve">– o ile uzasadnione specyficzną formą pracy wynikającą z przyjętych celów i metod (np. ćwiczenia terenowe).</w:t>
      </w:r>
    </w:p>
    <w:p>
      <w:r>
        <w:pict>
          <v:rect style="width:0;height:1.5pt" o:hralign="center" o:hrstd="t" o:hr="t"/>
        </w:pict>
      </w:r>
    </w:p>
    <w:bookmarkEnd w:id="29"/>
    <w:bookmarkStart w:id="30" w:name="vi.-dostępność-środków-dydaktycznych"/>
    <w:p>
      <w:pPr>
        <w:pStyle w:val="Heading2"/>
      </w:pPr>
      <w:r>
        <w:t xml:space="preserve">VI. DOSTĘPNOŚĆ ŚRODKÓW DYDAKTYCZNYCH</w:t>
      </w:r>
    </w:p>
    <w:p>
      <w:pPr>
        <w:pStyle w:val="FirstParagraph"/>
      </w:pPr>
      <w:r>
        <w:t xml:space="preserve">Przed rozpoczęciem koordynator lub trener sprawdza dostępność (checklist w protokole):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Flipchart / tablica</w:t>
      </w:r>
      <w:r>
        <w:t xml:space="preserve"> </w:t>
      </w:r>
      <w:r>
        <w:t xml:space="preserve">– do pracy grupowej.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Komputer / laptop</w:t>
      </w:r>
      <w:r>
        <w:t xml:space="preserve">,</w:t>
      </w:r>
      <w:r>
        <w:t xml:space="preserve"> </w:t>
      </w:r>
      <w:r>
        <w:rPr>
          <w:b/>
          <w:bCs/>
        </w:rPr>
        <w:t xml:space="preserve">rzutnik</w:t>
      </w:r>
      <w:r>
        <w:t xml:space="preserve"> </w:t>
      </w:r>
      <w:r>
        <w:t xml:space="preserve">– do prezentacji.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Dostęp do internetu</w:t>
      </w:r>
      <w:r>
        <w:t xml:space="preserve"> </w:t>
      </w:r>
      <w:r>
        <w:t xml:space="preserve">– gdy wymagany.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Papier, materiały piśmiennicze</w:t>
      </w:r>
      <w:r>
        <w:t xml:space="preserve"> </w:t>
      </w:r>
      <w:r>
        <w:t xml:space="preserve">– dla uczestników.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Materiały specjalistyczne</w:t>
      </w:r>
      <w:r>
        <w:t xml:space="preserve"> </w:t>
      </w:r>
      <w:r>
        <w:t xml:space="preserve">– wynikające z programu (np. sprzęt do zajęć ekologicznych).</w:t>
      </w:r>
    </w:p>
    <w:p>
      <w:pPr>
        <w:pStyle w:val="FirstParagraph"/>
      </w:pPr>
      <w:r>
        <w:t xml:space="preserve">Przy zajęciach terenowych – środki adekwatne do formy (np. sprzęt ochrony, materiały do obserwacji).</w:t>
      </w:r>
    </w:p>
    <w:p>
      <w:r>
        <w:pict>
          <v:rect style="width:0;height:1.5pt" o:hralign="center" o:hrstd="t" o:hr="t"/>
        </w:pict>
      </w:r>
    </w:p>
    <w:bookmarkEnd w:id="30"/>
    <w:bookmarkStart w:id="31" w:name="X746b13ef514d8bbb6c7c4b6f8a186017210c779"/>
    <w:p>
      <w:pPr>
        <w:pStyle w:val="Heading2"/>
      </w:pPr>
      <w:r>
        <w:t xml:space="preserve">VII. ORGANIZACJA, OBSŁUGA KLIENTA I REKLAMACJE</w:t>
      </w:r>
    </w:p>
    <w:p>
      <w:pPr>
        <w:pStyle w:val="FirstParagraph"/>
      </w:pPr>
      <w:r>
        <w:t xml:space="preserve">SGM stosuje Procedurę reklamacji oraz Procedurę postępowania przy nieprzewidzianych trudnościach.</w:t>
      </w:r>
    </w:p>
    <w:p>
      <w:r>
        <w:pict>
          <v:rect style="width:0;height:1.5pt" o:hralign="center" o:hrstd="t" o:hr="t"/>
        </w:pict>
      </w:r>
    </w:p>
    <w:bookmarkEnd w:id="31"/>
    <w:bookmarkStart w:id="32" w:name="X40118c01fe274adbdc7579965afeeac8811dfab"/>
    <w:p>
      <w:pPr>
        <w:pStyle w:val="Heading2"/>
      </w:pPr>
      <w:r>
        <w:t xml:space="preserve">VIII. ZARZĄDZANIE JAKOŚCIĄ I DOKUMENTACJA</w:t>
      </w:r>
    </w:p>
    <w:p>
      <w:pPr>
        <w:pStyle w:val="FirstParagraph"/>
      </w:pPr>
      <w:r>
        <w:rPr>
          <w:b/>
          <w:bCs/>
        </w:rPr>
        <w:t xml:space="preserve">Katalog szkoleń:</w:t>
      </w:r>
      <w:r>
        <w:t xml:space="preserve"> </w:t>
      </w:r>
      <w:r>
        <w:t xml:space="preserve">SGM publikuje na stronie www.mediagroup.org.pl aktualny katalog oferowanych warsztatów i szkoleń zawierający: efekty uczenia, wstępne wymagania wobec uczestników, czas trwania i formę kształcenia, zarys programu nauczania (nazwy tematów z ramami czasowymi).</w:t>
      </w:r>
    </w:p>
    <w:p>
      <w:pPr>
        <w:pStyle w:val="BodyText"/>
      </w:pPr>
      <w:r>
        <w:rPr>
          <w:b/>
          <w:bCs/>
        </w:rPr>
        <w:t xml:space="preserve">Dokumentacja przebiegu kształcenia zawiera co najmniej:</w:t>
      </w:r>
      <w:r>
        <w:t xml:space="preserve"> </w:t>
      </w:r>
      <w:r>
        <w:t xml:space="preserve">- program szkolenia (wymiar godzinowy i tematy poszczególnych zajęć),</w:t>
      </w:r>
      <w:r>
        <w:t xml:space="preserve"> </w:t>
      </w:r>
      <w:r>
        <w:t xml:space="preserve">- listę lub listy obecności,</w:t>
      </w:r>
      <w:r>
        <w:t xml:space="preserve"> </w:t>
      </w:r>
      <w:r>
        <w:t xml:space="preserve">- protokół z egzaminu (o ile został przeprowadzony),</w:t>
      </w:r>
      <w:r>
        <w:t xml:space="preserve"> </w:t>
      </w:r>
      <w:r>
        <w:t xml:space="preserve">- zaświadczenia wydane uczestnikom,</w:t>
      </w:r>
      <w:r>
        <w:t xml:space="preserve"> </w:t>
      </w:r>
      <w:r>
        <w:t xml:space="preserve">- ankiety ewaluacyjne (lub zestawienie wyników),</w:t>
      </w:r>
      <w:r>
        <w:t xml:space="preserve"> </w:t>
      </w:r>
      <w:r>
        <w:t xml:space="preserve">- materiały szkoleniowe przekazane uczestnikom,</w:t>
      </w:r>
      <w:r>
        <w:t xml:space="preserve"> </w:t>
      </w:r>
      <w:r>
        <w:t xml:space="preserve">- notatkę z identyfikacji potrzeb szkoleniowych (o ile dotyczy).</w:t>
      </w:r>
    </w:p>
    <w:p>
      <w:pPr>
        <w:pStyle w:val="BodyText"/>
      </w:pPr>
      <w:r>
        <w:t xml:space="preserve">Dokumentacja przechowywana w teczkach szkoleń; okres archiwizacji zgodnie z polityką archiwizacji i wymogami audytu MSUES.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Numer wersji:</w:t>
      </w:r>
      <w:r>
        <w:t xml:space="preserve"> </w:t>
      </w:r>
      <w:r>
        <w:t xml:space="preserve">1.0</w:t>
      </w:r>
      <w:r>
        <w:br/>
      </w:r>
      <w:r>
        <w:rPr>
          <w:b/>
          <w:bCs/>
        </w:rPr>
        <w:t xml:space="preserve">Data wersji:</w:t>
      </w:r>
      <w:r>
        <w:t xml:space="preserve"> </w:t>
      </w:r>
      <w:r>
        <w:t xml:space="preserve">19.02.2026</w:t>
      </w:r>
      <w:r>
        <w:br/>
      </w:r>
      <w:r>
        <w:rPr>
          <w:b/>
          <w:bCs/>
        </w:rPr>
        <w:t xml:space="preserve">Data przyjęcia dokumentu w pierwotnej wersji:</w:t>
      </w:r>
      <w:r>
        <w:t xml:space="preserve"> </w:t>
      </w:r>
      <w:r>
        <w:t xml:space="preserve">19.02.2026</w:t>
      </w:r>
    </w:p>
    <w:bookmarkEnd w:id="32"/>
    <w:bookmarkEnd w:id="33"/>
    <w:sectPr w:rsidR="00FC693F" w:rsidRPr="0006063C" w:rsidSect="00034616">
      <w:headerReference r:id="rId9" w:type="default"/>
      <w:footerReference r:id="rId10" w:type="default"/>
      <w:pgSz w:h="15840" w:w="12240"/>
      <w:pgMar w:bottom="1417" w:footer="720" w:gutter="0" w:header="720" w:left="1417" w:right="1417" w:top="1417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Społeczna Grupa Medialna Sp. z o.o. | ul. Marszałkowska 31, 42-400 Zawiercie | 732 259 513 | kontakt@mediagroup.org.pl | www.mediagroup.org.pl</w:t>
    </w:r>
  </w:p>
  <w:p>
    <w:pPr>
      <w:jc w:val="right"/>
    </w:pPr>
    <w:r>
      <w:t xml:space="preserve">Strona </w:t>
    </w:r>
    <w:r>
      <w:fldChar w:fldCharType="begin"/>
      <w:instrText xml:space="preserve">PAGE</w:instrText>
      <w:fldChar w:fldCharType="end"/>
    </w:r>
    <w:r>
      <w:t xml:space="preserve"> z </w:t>
    </w:r>
    <w:r>
      <w:fldChar w:fldCharType="begin"/>
      <w:instrText xml:space="preserve">NUMPAGES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720000" cy="720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0" w:before="0" w:line="276" w:lineRule="auto"/>
      <w:jc w:val="left"/>
    </w:pPr>
    <w:rPr>
      <w:rFonts w:ascii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jc w:val="left"/>
      <w:outlineLvl w:val="0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jc w:val="left"/>
      <w:outlineLvl w:val="1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jc w:val="left"/>
      <w:outlineLvl w:val="2"/>
    </w:pPr>
    <w:rPr>
      <w:rFonts w:ascii="Calibri" w:asciiTheme="majorHAnsi" w:cstheme="majorBidi" w:eastAsiaTheme="majorEastAsia" w:hAnsi="Calibri" w:hAnsiTheme="majorHAnsi"/>
      <w:b/>
      <w:bCs/>
      <w:color w:val="000000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  <w:jc w:val="center"/>
    </w:pPr>
    <w:rPr>
      <w:rFonts w:ascii="Calibri" w:asciiTheme="majorHAnsi" w:cstheme="majorBidi" w:eastAsiaTheme="majorEastAsia" w:hAnsi="Calibri" w:hAnsiTheme="majorHAnsi"/>
      <w:color w:themeColor="text2" w:themeShade="BF" w:val="17365D"/>
      <w:spacing w:val="5"/>
      <w:kern w:val="28"/>
      <w:sz w:val="28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2026-02-20T10:36:42Z</dcterms:created>
  <dcterms:modified xsi:type="dcterms:W3CDTF">2026-02-20T10:36:42Z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