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procedura-reklamacji-usług"/>
    <w:p>
      <w:pPr>
        <w:pStyle w:val="Heading1"/>
      </w:pPr>
      <w:r>
        <w:t xml:space="preserve">PROCEDURA REKLAMACJI USŁUG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Społeczna Grupa Medialna Sp. z o.o.</w:t>
      </w:r>
      <w:r>
        <w:br/>
      </w:r>
      <w:r>
        <w:t xml:space="preserve">ul. Marszałkowska 31, 42-400 Zawiercie | www.mediagroup.org.pl</w:t>
      </w:r>
    </w:p>
    <w:p>
      <w:r>
        <w:pict>
          <v:rect style="width:0;height:1.5pt" o:hralign="center" o:hrstd="t" o:hr="t"/>
        </w:pict>
      </w:r>
    </w:p>
    <w:bookmarkStart w:id="19" w:name="i.-cel-i-zakres"/>
    <w:p>
      <w:pPr>
        <w:pStyle w:val="Heading2"/>
      </w:pPr>
      <w:r>
        <w:t xml:space="preserve">I. CEL I ZAKRES</w:t>
      </w:r>
    </w:p>
    <w:p>
      <w:pPr>
        <w:pStyle w:val="FirstParagraph"/>
      </w:pPr>
      <w:r>
        <w:t xml:space="preserve">Niniejsza procedura dotyczy sytuacji, w których usługa nie spełniła oczekiwań odbiorców. Procedura opisuje sposoby rozpatrywania reklamacji oraz możliwe formy rekompensaty. Procedura jest podana do wiadomości odbiorców – dostępna na stronie www.mediagroup.org.pl oraz w siedzibie SGM.</w:t>
      </w:r>
    </w:p>
    <w:p>
      <w:r>
        <w:pict>
          <v:rect style="width:0;height:1.5pt" o:hralign="center" o:hrstd="t" o:hr="t"/>
        </w:pict>
      </w:r>
    </w:p>
    <w:bookmarkEnd w:id="19"/>
    <w:bookmarkStart w:id="20" w:name="ii.-sposób-składania-reklamacji"/>
    <w:p>
      <w:pPr>
        <w:pStyle w:val="Heading2"/>
      </w:pPr>
      <w:r>
        <w:t xml:space="preserve">II. SPOSÓB SKŁADANIA REKLAMACJI</w:t>
      </w:r>
    </w:p>
    <w:p>
      <w:pPr>
        <w:pStyle w:val="FirstParagraph"/>
      </w:pPr>
      <w:r>
        <w:t xml:space="preserve">SGM przyjmuje zastrzeżenia i uwagi związane z realizacją warsztatów i szkoleń za pośrednictwem</w:t>
      </w:r>
      <w:r>
        <w:t xml:space="preserve"> </w:t>
      </w:r>
      <w:r>
        <w:rPr>
          <w:b/>
          <w:bCs/>
        </w:rPr>
        <w:t xml:space="preserve">formularza reklamacyjnego</w:t>
      </w:r>
      <w:r>
        <w:t xml:space="preserve"> </w:t>
      </w:r>
      <w:r>
        <w:t xml:space="preserve">(Formularz reklamacji usługi – F7), przekazanego w formie pisemnej lub elektronicznej na adres:</w:t>
      </w:r>
    </w:p>
    <w:p>
      <w:pPr>
        <w:pStyle w:val="BodyText"/>
      </w:pPr>
      <w:r>
        <w:rPr>
          <w:b/>
          <w:bCs/>
        </w:rPr>
        <w:t xml:space="preserve">ul. Marszałkowska 31, 42-400 Zawiercie</w:t>
      </w:r>
      <w:r>
        <w:br/>
      </w:r>
      <w:r>
        <w:rPr>
          <w:b/>
          <w:bCs/>
        </w:rPr>
        <w:t xml:space="preserve">e-mail:</w:t>
      </w:r>
      <w:r>
        <w:t xml:space="preserve"> </w:t>
      </w:r>
      <w:r>
        <w:t xml:space="preserve">kontakt@mediagroup.org.pl</w:t>
      </w:r>
      <w:r>
        <w:br/>
      </w:r>
      <w:r>
        <w:rPr>
          <w:b/>
          <w:bCs/>
        </w:rPr>
        <w:t xml:space="preserve">tel.:</w:t>
      </w:r>
      <w:r>
        <w:t xml:space="preserve"> </w:t>
      </w:r>
      <w:r>
        <w:t xml:space="preserve">732 259 513</w:t>
      </w:r>
    </w:p>
    <w:p>
      <w:pPr>
        <w:pStyle w:val="BodyText"/>
      </w:pPr>
      <w:r>
        <w:t xml:space="preserve">Zgłoszenie musi zawierać wszystkie informacje oznaczone w formularzu jako wymagane (np. nazwa i termin szkolenia, dane klienta wraz z adresem, okoliczności uzasadniające reklamację).</w:t>
      </w:r>
    </w:p>
    <w:p>
      <w:pPr>
        <w:pStyle w:val="BodyText"/>
      </w:pPr>
      <w:r>
        <w:rPr>
          <w:i/>
          <w:iCs/>
        </w:rPr>
        <w:t xml:space="preserve">Skarga ustna:</w:t>
      </w:r>
      <w:r>
        <w:t xml:space="preserve"> </w:t>
      </w:r>
      <w:r>
        <w:t xml:space="preserve">W przypadku niezadowolenia uczestnik może złożyć skargę ustną do trenera, koordynatora organizacyjnego lub innego pracownika zaangażowanego w realizację szkolenia. Reklamacja formalna wymaga formy pisemnej zgodnie z niniejszą procedurą.</w:t>
      </w:r>
    </w:p>
    <w:p>
      <w:r>
        <w:pict>
          <v:rect style="width:0;height:1.5pt" o:hralign="center" o:hrstd="t" o:hr="t"/>
        </w:pict>
      </w:r>
    </w:p>
    <w:bookmarkEnd w:id="20"/>
    <w:bookmarkStart w:id="21" w:name="iii.-termin-i-rejestracja"/>
    <w:p>
      <w:pPr>
        <w:pStyle w:val="Heading2"/>
      </w:pPr>
      <w:r>
        <w:t xml:space="preserve">III. TERMIN I REJESTRACJA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Termin rozpatrzenia:</w:t>
      </w:r>
      <w:r>
        <w:t xml:space="preserve"> </w:t>
      </w:r>
      <w:r>
        <w:t xml:space="preserve">Zgłoszenia reklamacyjne są rozpatrywane nie później niż w ciągu</w:t>
      </w:r>
      <w:r>
        <w:t xml:space="preserve"> </w:t>
      </w:r>
      <w:r>
        <w:rPr>
          <w:b/>
          <w:bCs/>
        </w:rPr>
        <w:t xml:space="preserve">14 dni roboczych</w:t>
      </w:r>
      <w:r>
        <w:t xml:space="preserve"> </w:t>
      </w:r>
      <w:r>
        <w:t xml:space="preserve">od dnia ich otrzymania (14 dni kalendarzowych od otrzymania kompletnego zgłoszenia – w praktyce stosowana norma branżowa).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Rejestracja:</w:t>
      </w:r>
      <w:r>
        <w:t xml:space="preserve"> </w:t>
      </w:r>
      <w:r>
        <w:t xml:space="preserve">Każda reklamacja podlega rejestracji. Rejestr reklamacji zawiera: data zgłoszenia, dane zgłaszającego, przedmiot reklamacji, rozstrzygnięcie, data rozstrzygnięcia. Rejestr służy do corocznej oceny działania, analizy przyczyn oraz ewentualnych działań korygujących (Procedura zapewniania jakości).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Decyzja:</w:t>
      </w:r>
      <w:r>
        <w:t xml:space="preserve"> </w:t>
      </w:r>
      <w:r>
        <w:t xml:space="preserve">Przekazywana klientowi w formie pisemnej wraz z uzasadnieniem.</w:t>
      </w:r>
    </w:p>
    <w:p>
      <w:r>
        <w:pict>
          <v:rect style="width:0;height:1.5pt" o:hralign="center" o:hrstd="t" o:hr="t"/>
        </w:pict>
      </w:r>
    </w:p>
    <w:bookmarkEnd w:id="21"/>
    <w:bookmarkStart w:id="22" w:name="iv.-możliwe-formy-rekompensaty"/>
    <w:p>
      <w:pPr>
        <w:pStyle w:val="Heading2"/>
      </w:pPr>
      <w:r>
        <w:t xml:space="preserve">IV. MOŻLIWE FORMY REKOMPENSATY</w:t>
      </w:r>
    </w:p>
    <w:p>
      <w:pPr>
        <w:pStyle w:val="FirstParagraph"/>
      </w:pPr>
      <w:r>
        <w:t xml:space="preserve">Uczestnik usługi składający reklamację może wnioskować o: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5866"/>
        <w:gridCol w:w="205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Forma rekompensaty</w:t>
            </w:r>
          </w:p>
        </w:tc>
        <w:tc>
          <w:tcPr/>
          <w:p>
            <w:pPr>
              <w:pStyle w:val="Compact"/>
            </w:pPr>
            <w:r>
              <w:t xml:space="preserve">Uwagi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Dodatkowe, bezpłatne materiały dydaktyczne</w:t>
            </w:r>
          </w:p>
        </w:tc>
        <w:tc>
          <w:tcPr/>
          <w:p>
            <w:pPr>
              <w:pStyle w:val="Compact"/>
            </w:pPr>
            <w:r>
              <w:t xml:space="preserve">Forma i zakres uzgodnione indywidualnie z uczestnikiem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Bezpłatny udział w warsztacie o tej samej lub podobnej tematyce</w:t>
            </w:r>
          </w:p>
        </w:tc>
        <w:tc>
          <w:tcPr/>
          <w:p>
            <w:pPr>
              <w:pStyle w:val="Compact"/>
            </w:pPr>
            <w:r>
              <w:t xml:space="preserve">Termin uzgodniony z uczestnikiem, uwzględnienie dostępności i harmonogramu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Bezpłatne powtórzenie warsztatu z innym trenerem</w:t>
            </w:r>
          </w:p>
        </w:tc>
        <w:tc>
          <w:tcPr/>
          <w:p>
            <w:pPr>
              <w:pStyle w:val="Compact"/>
            </w:pPr>
            <w:r>
              <w:t xml:space="preserve">W przypadku szkoleń zamkniętych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Zwrot kosztów</w:t>
            </w:r>
          </w:p>
        </w:tc>
        <w:tc>
          <w:tcPr/>
          <w:p>
            <w:pPr>
              <w:pStyle w:val="Compact"/>
            </w:pPr>
            <w:r>
              <w:t xml:space="preserve">Możliwy</w:t>
            </w:r>
            <w:r>
              <w:t xml:space="preserve"> </w:t>
            </w:r>
            <w:r>
              <w:rPr>
                <w:b/>
                <w:bCs/>
              </w:rPr>
              <w:t xml:space="preserve">wyłącznie</w:t>
            </w:r>
            <w:r>
              <w:t xml:space="preserve"> </w:t>
            </w:r>
            <w:r>
              <w:t xml:space="preserve">w przypadku niestawienia się trenera w dniu realizacji bez wcześniejszego powiadomienia uczestników (telefon, e-mail)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Start w:id="23" w:name="v.-warunki-rozpatrzenia"/>
    <w:p>
      <w:pPr>
        <w:pStyle w:val="Heading2"/>
      </w:pPr>
      <w:r>
        <w:t xml:space="preserve">V. WARUNKI ROZPATRZENIA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Bez rozpatrzenia:</w:t>
      </w:r>
      <w:r>
        <w:t xml:space="preserve"> </w:t>
      </w:r>
      <w:r>
        <w:t xml:space="preserve">SGM zastrzega sobie prawo do pozostawienia reklamacji bez rozpatrzenia, gdy wynika ona z nieznajomości zapisów zawartej umowy/oferty.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Uwzględnienie:</w:t>
      </w:r>
      <w:r>
        <w:t xml:space="preserve"> </w:t>
      </w:r>
      <w:r>
        <w:t xml:space="preserve">Reklamacja może być uwzględniona m.in. gdy warsztat uzyskał średnią z ocen poniżej przyjętego progu w ankiecie ewaluacyjnej lub gdy usługa została wykonana niezgodnie z zapisami umowy/oferty.</w:t>
      </w:r>
    </w:p>
    <w:p>
      <w:r>
        <w:pict>
          <v:rect style="width:0;height:1.5pt" o:hralign="center" o:hrstd="t" o:hr="t"/>
        </w:pict>
      </w:r>
    </w:p>
    <w:bookmarkEnd w:id="23"/>
    <w:bookmarkStart w:id="24" w:name="vi.-szczególne-sytuacje"/>
    <w:p>
      <w:pPr>
        <w:pStyle w:val="Heading2"/>
      </w:pPr>
      <w:r>
        <w:t xml:space="preserve">VI. SZCZEGÓLNE SYTUACJE</w:t>
      </w:r>
    </w:p>
    <w:p>
      <w:pPr>
        <w:pStyle w:val="FirstParagraph"/>
      </w:pPr>
      <w:r>
        <w:rPr>
          <w:b/>
          <w:bCs/>
        </w:rPr>
        <w:t xml:space="preserve">Udział w szkoleniu osób nietrzeźwych lub uniemożliwiających pracę:</w:t>
      </w:r>
      <w:r>
        <w:br/>
      </w:r>
      <w:r>
        <w:t xml:space="preserve">Trener prosi uczestnika o opuszczenie sali, informuje zamawiającego (w przypadku szkoleń zamkniętych). Sytuacja odnotowywana w dokumentacji.</w:t>
      </w:r>
    </w:p>
    <w:p>
      <w:r>
        <w:pict>
          <v:rect style="width:0;height:1.5pt" o:hralign="center" o:hrstd="t" o:hr="t"/>
        </w:pict>
      </w:r>
    </w:p>
    <w:bookmarkEnd w:id="24"/>
    <w:bookmarkStart w:id="25" w:name="vii.-ochrona-danych-osobowych-rodo"/>
    <w:p>
      <w:pPr>
        <w:pStyle w:val="Heading2"/>
      </w:pPr>
      <w:r>
        <w:t xml:space="preserve">VII. OCHRONA DANYCH OSOBOWYCH (RODO)</w:t>
      </w:r>
    </w:p>
    <w:p>
      <w:pPr>
        <w:pStyle w:val="FirstParagraph"/>
      </w:pPr>
      <w:r>
        <w:t xml:space="preserve">Dane osobowe w zgłoszeniach reklamacyjnych przetwarzane są wyłącznie w celu rozpatrzenia reklamacji. Okres przechowywania – zgodnie z polityką archiwizacji i wymogami prawa.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Numer wersji:</w:t>
      </w:r>
      <w:r>
        <w:t xml:space="preserve"> </w:t>
      </w:r>
      <w:r>
        <w:t xml:space="preserve">1.0</w:t>
      </w:r>
      <w:r>
        <w:br/>
      </w:r>
      <w:r>
        <w:rPr>
          <w:b/>
          <w:bCs/>
        </w:rPr>
        <w:t xml:space="preserve">Data wersji:</w:t>
      </w:r>
      <w:r>
        <w:t xml:space="preserve"> </w:t>
      </w:r>
      <w:r>
        <w:t xml:space="preserve">19.02.2026</w:t>
      </w:r>
      <w:r>
        <w:br/>
      </w:r>
      <w:r>
        <w:rPr>
          <w:b/>
          <w:bCs/>
        </w:rPr>
        <w:t xml:space="preserve">Data przyjęcia dokumentu w pierwotnej wersji:</w:t>
      </w:r>
      <w:r>
        <w:t xml:space="preserve"> </w:t>
      </w:r>
      <w:r>
        <w:t xml:space="preserve">19.02.2026</w:t>
      </w:r>
    </w:p>
    <w:bookmarkEnd w:id="25"/>
    <w:bookmarkEnd w:id="26"/>
    <w:sectPr w:rsidR="00FC693F" w:rsidRPr="0006063C" w:rsidSect="00034616">
      <w:headerReference r:id="rId9" w:type="default"/>
      <w:footerReference r:id="rId10" w:type="default"/>
      <w:pgSz w:h="15840" w:w="12240"/>
      <w:pgMar w:bottom="1417" w:footer="720" w:gutter="0" w:header="720" w:left="1417" w:right="1417" w:top="1417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Społeczna Grupa Medialna Sp. z o.o. | ul. Marszałkowska 31, 42-400 Zawiercie | 732 259 513 | kontakt@mediagroup.org.pl | www.mediagroup.org.pl</w:t>
    </w:r>
  </w:p>
  <w:p>
    <w:pPr>
      <w:jc w:val="right"/>
    </w:pPr>
    <w:r>
      <w:t xml:space="preserve">Strona </w:t>
    </w:r>
    <w:r>
      <w:fldChar w:fldCharType="begin"/>
      <w:instrText xml:space="preserve">PAGE</w:instrText>
      <w:fldChar w:fldCharType="end"/>
    </w:r>
    <w:r>
      <w:t xml:space="preserve"> z </w:t>
    </w:r>
    <w:r>
      <w:fldChar w:fldCharType="begin"/>
      <w:instrText xml:space="preserve">NUMPAGES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720000" cy="7200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0" w:before="0" w:line="276" w:lineRule="auto"/>
      <w:jc w:val="left"/>
    </w:pPr>
    <w:rPr>
      <w:rFonts w:ascii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jc w:val="left"/>
      <w:outlineLvl w:val="0"/>
    </w:pPr>
    <w:rPr>
      <w:rFonts w:ascii="Calibri" w:asciiTheme="majorHAnsi" w:cstheme="majorBidi" w:eastAsiaTheme="majorEastAsia" w:hAnsi="Calibri" w:hAnsiTheme="majorHAnsi"/>
      <w:b/>
      <w:bCs/>
      <w:color w:val="000000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jc w:val="left"/>
      <w:outlineLvl w:val="1"/>
    </w:pPr>
    <w:rPr>
      <w:rFonts w:ascii="Calibri" w:asciiTheme="majorHAnsi" w:cstheme="majorBidi" w:eastAsiaTheme="majorEastAsia" w:hAnsi="Calibri" w:hAnsiTheme="majorHAnsi"/>
      <w:b/>
      <w:bCs/>
      <w:color w:val="000000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jc w:val="left"/>
      <w:outlineLvl w:val="2"/>
    </w:pPr>
    <w:rPr>
      <w:rFonts w:ascii="Calibri" w:asciiTheme="majorHAnsi" w:cstheme="majorBidi" w:eastAsiaTheme="majorEastAsia" w:hAnsi="Calibri" w:hAnsiTheme="majorHAnsi"/>
      <w:b/>
      <w:bCs/>
      <w:color w:val="000000"/>
      <w:sz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  <w:jc w:val="center"/>
    </w:pPr>
    <w:rPr>
      <w:rFonts w:ascii="Calibri" w:asciiTheme="majorHAnsi" w:cstheme="majorBidi" w:eastAsiaTheme="majorEastAsia" w:hAnsi="Calibri" w:hAnsiTheme="majorHAnsi"/>
      <w:color w:themeColor="text2" w:themeShade="BF" w:val="17365D"/>
      <w:spacing w:val="5"/>
      <w:kern w:val="28"/>
      <w:sz w:val="28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8" Type="http://schemas.openxmlformats.org/officeDocument/2006/relationships/numbering" Target="numbering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webSettings" Target="web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notes" Target="footnotes.xml"/><Relationship Id="rId11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2026-02-20T10:36:42Z</dcterms:created>
  <dcterms:modified xsi:type="dcterms:W3CDTF">2026-02-20T10:36:42Z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