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99973a1280113ea41a949b66e3cc7b5357b337"/>
    <w:p>
      <w:pPr>
        <w:pStyle w:val="Heading1"/>
      </w:pPr>
      <w:r>
        <w:t xml:space="preserve">PROCEDURA REKRUTACJI TRENERÓW / KADRY SZKOLENIOWEJ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Społeczna Grupa Medialna Sp. z o.o.</w:t>
      </w:r>
      <w:r>
        <w:br/>
      </w:r>
      <w:r>
        <w:t xml:space="preserve">ul. Marszałkowska 31, 42-400 Zawiercie | www.mediagroup.org.pl</w:t>
      </w:r>
    </w:p>
    <w:p>
      <w:r>
        <w:pict>
          <v:rect style="width:0;height:1.5pt" o:hralign="center" o:hrstd="t" o:hr="t"/>
        </w:pict>
      </w:r>
    </w:p>
    <w:bookmarkStart w:id="19" w:name="i.-cel-i-zakres"/>
    <w:p>
      <w:pPr>
        <w:pStyle w:val="Heading2"/>
      </w:pPr>
      <w:r>
        <w:t xml:space="preserve">I. CEL I ZAKRES</w:t>
      </w:r>
    </w:p>
    <w:p>
      <w:pPr>
        <w:numPr>
          <w:ilvl w:val="0"/>
          <w:numId w:val="1001"/>
        </w:numPr>
      </w:pPr>
      <w:r>
        <w:t xml:space="preserve">Niniejsza procedura określa proces rekrutacji trenerów i członków kadry szkoleniowej w Społecznej Grupie Medialnej z siedzibą w Gliwicach.</w:t>
      </w:r>
    </w:p>
    <w:p>
      <w:pPr>
        <w:numPr>
          <w:ilvl w:val="0"/>
          <w:numId w:val="1001"/>
        </w:numPr>
      </w:pPr>
      <w:r>
        <w:t xml:space="preserve">Procedura ma zastosowanie do:</w:t>
      </w:r>
    </w:p>
    <w:p>
      <w:pPr>
        <w:pStyle w:val="Compact"/>
        <w:numPr>
          <w:ilvl w:val="1"/>
          <w:numId w:val="1002"/>
        </w:numPr>
      </w:pPr>
      <w:r>
        <w:t xml:space="preserve">rekrutacji nowych trenerów i ekspertów prowadzących warsztaty i szkolenia w zakresie edukacji ekologicznej,</w:t>
      </w:r>
    </w:p>
    <w:p>
      <w:pPr>
        <w:pStyle w:val="Compact"/>
        <w:numPr>
          <w:ilvl w:val="1"/>
          <w:numId w:val="1002"/>
        </w:numPr>
      </w:pPr>
      <w:r>
        <w:t xml:space="preserve">uzupełnienia bazy współpracowników na podstawie zgłoszeń z otwartego naboru.</w:t>
      </w:r>
    </w:p>
    <w:p>
      <w:pPr>
        <w:numPr>
          <w:ilvl w:val="0"/>
          <w:numId w:val="1001"/>
        </w:numPr>
      </w:pPr>
      <w:r>
        <w:t xml:space="preserve">Proces rekrutacji jest spójny z wymaganiami w zakresie kwalifikacji kadry oraz oceny kadry (Procedura zapewniania jakości). Analogiczne kryteria stosowane są przy ocenie kadry.</w:t>
      </w:r>
    </w:p>
    <w:p>
      <w:r>
        <w:pict>
          <v:rect style="width:0;height:1.5pt" o:hralign="center" o:hrstd="t" o:hr="t"/>
        </w:pict>
      </w:r>
    </w:p>
    <w:bookmarkEnd w:id="19"/>
    <w:bookmarkStart w:id="20" w:name="X737a2b814ba7d7b1ebcfe3c9d472d93d0cb6f65"/>
    <w:p>
      <w:pPr>
        <w:pStyle w:val="Heading2"/>
      </w:pPr>
      <w:r>
        <w:t xml:space="preserve">II. ŹRÓDŁA REKRUTACJI I PUBLIKACJA OFERTY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Identyfikacja potrzeby rekrutacji</w:t>
      </w:r>
      <w:r>
        <w:br/>
      </w:r>
      <w:r>
        <w:t xml:space="preserve">Opiekun merytoryczny lub koordynator określa zapotrzebowanie na kadrę (tematyka, liczba godzin, forma współpracy).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Opis oferty</w:t>
      </w:r>
      <w:r>
        <w:br/>
      </w:r>
      <w:r>
        <w:t xml:space="preserve">Przygotowywany jest opis zawierający co najmniej: zakres tematyczny (edukacja ekologiczna, warsztaty, ekowolontariat), wymagania kwalifikacyjne (sekcja III), formę współpracy, sposób i termin składania zgłoszeń.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Publikacja ogłoszenia</w:t>
      </w:r>
      <w:r>
        <w:br/>
      </w:r>
      <w:r>
        <w:t xml:space="preserve">Ogłoszenie publikowane jest na stronie www.mediagroup.org.pl, w mediach społecznościowych, u partnerów (np. Klaster Innowacji Społecznych, sieci NGO, portale edukacyjne).</w:t>
      </w:r>
    </w:p>
    <w:p>
      <w:r>
        <w:pict>
          <v:rect style="width:0;height:1.5pt" o:hralign="center" o:hrstd="t" o:hr="t"/>
        </w:pict>
      </w:r>
    </w:p>
    <w:bookmarkEnd w:id="20"/>
    <w:bookmarkStart w:id="21" w:name="X58b1f3d09746541a51ed0b0c651134b6ae3e301"/>
    <w:p>
      <w:pPr>
        <w:pStyle w:val="Heading2"/>
      </w:pPr>
      <w:r>
        <w:t xml:space="preserve">III. WYMAGANIA KWALIFIKACYJNE (zgodne z MSUES 2.0)</w:t>
      </w:r>
    </w:p>
    <w:p>
      <w:pPr>
        <w:pStyle w:val="FirstParagraph"/>
      </w:pPr>
      <w:r>
        <w:t xml:space="preserve">Kandydat na trenera spełnia łącznie następujące wymagania: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Kompetencje merytoryczne</w:t>
      </w:r>
      <w:r>
        <w:br/>
      </w:r>
      <w:r>
        <w:t xml:space="preserve">Kandydat posiada:</w:t>
      </w:r>
    </w:p>
    <w:p>
      <w:pPr>
        <w:pStyle w:val="Compact"/>
        <w:numPr>
          <w:ilvl w:val="1"/>
          <w:numId w:val="1005"/>
        </w:numPr>
      </w:pPr>
      <w:r>
        <w:t xml:space="preserve">doświadczenie zawodowe odpowiednie do zakresu (edukacja ekologiczna, warsztaty, ochrona środowiska)</w:t>
      </w:r>
      <w:r>
        <w:t xml:space="preserve"> </w:t>
      </w:r>
      <w:r>
        <w:rPr>
          <w:b/>
          <w:bCs/>
        </w:rPr>
        <w:t xml:space="preserve">lub</w:t>
      </w:r>
    </w:p>
    <w:p>
      <w:pPr>
        <w:pStyle w:val="Compact"/>
        <w:numPr>
          <w:ilvl w:val="1"/>
          <w:numId w:val="1005"/>
        </w:numPr>
      </w:pPr>
      <w:r>
        <w:t xml:space="preserve">wykształcenie odpowiednie do tematyki</w:t>
      </w:r>
      <w:r>
        <w:t xml:space="preserve"> </w:t>
      </w:r>
      <w:r>
        <w:rPr>
          <w:b/>
          <w:bCs/>
        </w:rPr>
        <w:t xml:space="preserve">lub</w:t>
      </w:r>
    </w:p>
    <w:p>
      <w:pPr>
        <w:pStyle w:val="Compact"/>
        <w:numPr>
          <w:ilvl w:val="1"/>
          <w:numId w:val="1005"/>
        </w:numPr>
      </w:pPr>
      <w:r>
        <w:t xml:space="preserve">kwalifikacje (certyfikaty, uprawnienia) w danej dziedzinie.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Kompetencje społeczne i metodyczne – kształcenie dorosłych</w:t>
      </w:r>
      <w:r>
        <w:br/>
      </w:r>
      <w:r>
        <w:t xml:space="preserve">Kandydat spełnia</w:t>
      </w:r>
      <w:r>
        <w:t xml:space="preserve"> </w:t>
      </w:r>
      <w:r>
        <w:rPr>
          <w:b/>
          <w:bCs/>
        </w:rPr>
        <w:t xml:space="preserve">co najmniej jeden</w:t>
      </w:r>
      <w:r>
        <w:t xml:space="preserve"> </w:t>
      </w:r>
      <w:r>
        <w:t xml:space="preserve">z warunków:</w:t>
      </w:r>
    </w:p>
    <w:p>
      <w:pPr>
        <w:pStyle w:val="Compact"/>
        <w:numPr>
          <w:ilvl w:val="1"/>
          <w:numId w:val="1006"/>
        </w:numPr>
      </w:pPr>
      <w:r>
        <w:t xml:space="preserve">ukończył kurs min. 60h dydaktyczny lub przygotowujący do kształcenia dorosłych</w:t>
      </w:r>
      <w:r>
        <w:t xml:space="preserve"> </w:t>
      </w:r>
      <w:r>
        <w:rPr>
          <w:b/>
          <w:bCs/>
        </w:rPr>
        <w:t xml:space="preserve">lub</w:t>
      </w:r>
    </w:p>
    <w:p>
      <w:pPr>
        <w:pStyle w:val="Compact"/>
        <w:numPr>
          <w:ilvl w:val="1"/>
          <w:numId w:val="1006"/>
        </w:numPr>
      </w:pPr>
      <w:r>
        <w:t xml:space="preserve">dysponuje certyfikatem potwierdzającym kompetencje zbliżone do ww.</w:t>
      </w:r>
      <w:r>
        <w:t xml:space="preserve"> </w:t>
      </w:r>
      <w:r>
        <w:rPr>
          <w:b/>
          <w:bCs/>
        </w:rPr>
        <w:t xml:space="preserve">lub</w:t>
      </w:r>
    </w:p>
    <w:p>
      <w:pPr>
        <w:pStyle w:val="Compact"/>
        <w:numPr>
          <w:ilvl w:val="1"/>
          <w:numId w:val="1006"/>
        </w:numPr>
      </w:pPr>
      <w:r>
        <w:t xml:space="preserve">posiada 750h doświadczenia w edukacji osób dorosłych</w:t>
      </w:r>
      <w:r>
        <w:t xml:space="preserve"> </w:t>
      </w:r>
      <w:r>
        <w:rPr>
          <w:b/>
          <w:bCs/>
        </w:rPr>
        <w:t xml:space="preserve">lub</w:t>
      </w:r>
    </w:p>
    <w:p>
      <w:pPr>
        <w:pStyle w:val="Compact"/>
        <w:numPr>
          <w:ilvl w:val="1"/>
          <w:numId w:val="1006"/>
        </w:numPr>
      </w:pPr>
      <w:r>
        <w:t xml:space="preserve">posiada specjalistyczne wykształcenie i min. 5-letnie doświadczenie w dziedzinie oraz prowadzi kształcenie wyłącznie w formie wykładowej.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Opiekun merytoryczny</w:t>
      </w:r>
      <w:r>
        <w:br/>
      </w:r>
      <w:r>
        <w:t xml:space="preserve">W przypadku rekrutacji na funkcję opiekuna merytorycznego dodatkowo wymagane jest:</w:t>
      </w:r>
    </w:p>
    <w:p>
      <w:pPr>
        <w:pStyle w:val="Compact"/>
        <w:numPr>
          <w:ilvl w:val="1"/>
          <w:numId w:val="1007"/>
        </w:numPr>
      </w:pPr>
      <w:r>
        <w:t xml:space="preserve">min. 3-letnie doświadczenie zawodowe w zakresie odpowiednim do tematyki</w:t>
      </w:r>
      <w:r>
        <w:t xml:space="preserve"> </w:t>
      </w:r>
      <w:r>
        <w:rPr>
          <w:b/>
          <w:bCs/>
        </w:rPr>
        <w:t xml:space="preserve">lub</w:t>
      </w:r>
      <w:r>
        <w:t xml:space="preserve"> </w:t>
      </w:r>
      <w:r>
        <w:t xml:space="preserve">zrealizowane 300h szkoleń</w:t>
      </w:r>
      <w:r>
        <w:t xml:space="preserve"> </w:t>
      </w:r>
      <w:r>
        <w:rPr>
          <w:b/>
          <w:bCs/>
        </w:rPr>
        <w:t xml:space="preserve">oraz</w:t>
      </w:r>
    </w:p>
    <w:p>
      <w:pPr>
        <w:pStyle w:val="Compact"/>
        <w:numPr>
          <w:ilvl w:val="1"/>
          <w:numId w:val="1007"/>
        </w:numPr>
      </w:pPr>
      <w:r>
        <w:t xml:space="preserve">wykształcenie odpowiednie do tematyki (wyższe kierunkowe, studia podyplomowe, certyfikaty).</w:t>
      </w:r>
    </w:p>
    <w:p>
      <w:r>
        <w:pict>
          <v:rect style="width:0;height:1.5pt" o:hralign="center" o:hrstd="t" o:hr="t"/>
        </w:pict>
      </w:r>
    </w:p>
    <w:bookmarkEnd w:id="21"/>
    <w:bookmarkStart w:id="22" w:name="iv.-składanie-zgłoszeń-i-dokumentacja"/>
    <w:p>
      <w:pPr>
        <w:pStyle w:val="Heading2"/>
      </w:pPr>
      <w:r>
        <w:t xml:space="preserve">IV. SKŁADANIE ZGŁOSZEŃ I DOKUMENTACJA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Sposób zgłoszenia</w:t>
      </w:r>
      <w:r>
        <w:br/>
      </w:r>
      <w:r>
        <w:t xml:space="preserve">Kandydaci składają zgłoszenie w formie określonej w ogłoszeniu (e-mail z załącznikami, formularz).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Wymagane dokumenty</w:t>
      </w:r>
      <w:r>
        <w:br/>
      </w:r>
      <w:r>
        <w:t xml:space="preserve">Kandydat przedkłada: CV (doświadczenie, szkolenia prowadzone, projekty), dyplomy, certyfikaty, zaświadczenia, referencje (opcjonalnie).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Completeness check</w:t>
      </w:r>
      <w:r>
        <w:br/>
      </w:r>
      <w:r>
        <w:t xml:space="preserve">Osoba odpowiedzialna za rekrutację sprawdza kompletność zgłoszenia.</w:t>
      </w:r>
    </w:p>
    <w:p>
      <w:r>
        <w:pict>
          <v:rect style="width:0;height:1.5pt" o:hralign="center" o:hrstd="t" o:hr="t"/>
        </w:pict>
      </w:r>
    </w:p>
    <w:bookmarkEnd w:id="22"/>
    <w:bookmarkStart w:id="23" w:name="v.-weryfikacja-i-selekcja"/>
    <w:p>
      <w:pPr>
        <w:pStyle w:val="Heading2"/>
      </w:pPr>
      <w:r>
        <w:t xml:space="preserve">V. WERYFIKACJA I SELEKCJA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Weryfikacja formalna</w:t>
      </w:r>
      <w:r>
        <w:br/>
      </w:r>
      <w:r>
        <w:t xml:space="preserve">Na podstawie dokumentów weryfikuje się spełnienie wymagań z sekcji III.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Rozmowa rekrutacyjna (opcjonalnie)</w:t>
      </w:r>
      <w:r>
        <w:br/>
      </w:r>
      <w:r>
        <w:t xml:space="preserve">Spotkanie w celu oceny kompetencji społecznych i dopasowania do potrzeb projektu.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Ocena kandydata</w:t>
      </w:r>
      <w:r>
        <w:t xml:space="preserve"> </w:t>
      </w:r>
      <w:r>
        <w:t xml:space="preserve">– wiedza teoretyczna i praktyczna, kompetencje społeczne i metodyczne.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Decyzja</w:t>
      </w:r>
      <w:r>
        <w:br/>
      </w:r>
      <w:r>
        <w:t xml:space="preserve">Decyzję podejmuje osoba uprawniona na podstawie rekomendacji opiekuna merytorycznego. Kandydaci są informowani o wyniku.</w:t>
      </w:r>
    </w:p>
    <w:p>
      <w:r>
        <w:pict>
          <v:rect style="width:0;height:1.5pt" o:hralign="center" o:hrstd="t" o:hr="t"/>
        </w:pict>
      </w:r>
    </w:p>
    <w:bookmarkEnd w:id="23"/>
    <w:bookmarkStart w:id="24" w:name="X7395700db75462c4d7b49f7b4a64ed7888932c9"/>
    <w:p>
      <w:pPr>
        <w:pStyle w:val="Heading2"/>
      </w:pPr>
      <w:r>
        <w:t xml:space="preserve">VI. WŁĄCZENIE DO KADRY I BAZA WSPÓŁPRACOWNIKÓW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Baza kadry</w:t>
      </w:r>
      <w:r>
        <w:br/>
      </w:r>
      <w:r>
        <w:t xml:space="preserve">SGM prowadzi bazę kadry (wykaz trenerów) z danymi kontaktowymi, zakresem kompetencji i dokumentacją kwalifikacji. Za dobór kadry odpowiada opiekun merytoryczny lub osoba uprawniona.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Publikacja informacji o kadrze</w:t>
      </w:r>
      <w:r>
        <w:br/>
      </w:r>
      <w:r>
        <w:t xml:space="preserve">Na stronie www.mediagroup.org.pl publikowana jest aktualna informacja o kadrze delegowanej do realizacji konkretnych usług – w szczególności kwalifikacjach, doświadczeniu zawodowym i ważniejszych dotychczas zrealizowanych projektach.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Zobowiązania po przyjęciu</w:t>
      </w:r>
      <w:r>
        <w:br/>
      </w:r>
      <w:r>
        <w:t xml:space="preserve">Nowo przyjęty trener zapoznaje się z: procedurą realizacji usługi, procedurą zapewniania jakości, zasadami praw autorskich, procedurą postępowania z klientem. Zobowiązuje się do udziału w co najmniej jednym programie edukacyjnym rocznie (min. 16h) zorientowanym na rozwój i aktualizację kompetencji.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Numer wersji:</w:t>
      </w:r>
      <w:r>
        <w:t xml:space="preserve"> </w:t>
      </w:r>
      <w:r>
        <w:t xml:space="preserve">1.0</w:t>
      </w:r>
      <w:r>
        <w:br/>
      </w:r>
      <w:r>
        <w:rPr>
          <w:b/>
          <w:bCs/>
        </w:rPr>
        <w:t xml:space="preserve">Data wersji:</w:t>
      </w:r>
      <w:r>
        <w:t xml:space="preserve"> </w:t>
      </w:r>
      <w:r>
        <w:t xml:space="preserve">19.02.2026</w:t>
      </w:r>
      <w:r>
        <w:br/>
      </w:r>
      <w:r>
        <w:rPr>
          <w:b/>
          <w:bCs/>
        </w:rPr>
        <w:t xml:space="preserve">Data przyjęcia dokumentu w pierwotnej wersji:</w:t>
      </w:r>
      <w:r>
        <w:t xml:space="preserve"> </w:t>
      </w:r>
      <w:r>
        <w:t xml:space="preserve">19.02.2026</w:t>
      </w:r>
    </w:p>
    <w:bookmarkEnd w:id="24"/>
    <w:bookmarkEnd w:id="25"/>
    <w:sectPr w:rsidR="00FC693F" w:rsidRPr="0006063C" w:rsidSect="00034616">
      <w:headerReference r:id="rId9" w:type="default"/>
      <w:footerReference r:id="rId10" w:type="default"/>
      <w:pgSz w:h="15840" w:w="12240"/>
      <w:pgMar w:bottom="1417" w:footer="720" w:gutter="0" w:header="720" w:left="1417" w:right="1417" w:top="1417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Społeczna Grupa Medialna Sp. z o.o. | ul. Marszałkowska 31, 42-400 Zawiercie | 732 259 513 | kontakt@mediagroup.org.pl | www.mediagroup.org.pl</w:t>
    </w:r>
  </w:p>
  <w:p>
    <w:pPr>
      <w:jc w:val="right"/>
    </w:pPr>
    <w:r>
      <w:t xml:space="preserve">Strona </w:t>
    </w:r>
    <w:r>
      <w:fldChar w:fldCharType="begin"/>
      <w:instrText xml:space="preserve">PAGE</w:instrText>
      <w:fldChar w:fldCharType="end"/>
    </w:r>
    <w:r>
      <w:t xml:space="preserve"> z </w:t>
    </w:r>
    <w:r>
      <w:fldChar w:fldCharType="begin"/>
      <w:instrText xml:space="preserve">NUMPAGES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720000" cy="7200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0" w:before="0" w:line="276" w:lineRule="auto"/>
      <w:jc w:val="left"/>
    </w:pPr>
    <w:rPr>
      <w:rFonts w:ascii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jc w:val="left"/>
      <w:outlineLvl w:val="0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jc w:val="left"/>
      <w:outlineLvl w:val="1"/>
    </w:pPr>
    <w:rPr>
      <w:rFonts w:ascii="Calibri" w:asciiTheme="majorHAnsi" w:cstheme="majorBidi" w:eastAsiaTheme="majorEastAsia" w:hAnsi="Calibri" w:hAnsiTheme="majorHAnsi"/>
      <w:b/>
      <w:bCs/>
      <w:color w:val="000000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jc w:val="left"/>
      <w:outlineLvl w:val="2"/>
    </w:pPr>
    <w:rPr>
      <w:rFonts w:ascii="Calibri" w:asciiTheme="majorHAnsi" w:cstheme="majorBidi" w:eastAsiaTheme="majorEastAsia" w:hAnsi="Calibri" w:hAnsiTheme="majorHAnsi"/>
      <w:b/>
      <w:bCs/>
      <w:color w:val="000000"/>
      <w:sz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  <w:jc w:val="center"/>
    </w:pPr>
    <w:rPr>
      <w:rFonts w:ascii="Calibri" w:asciiTheme="majorHAnsi" w:cstheme="majorBidi" w:eastAsiaTheme="majorEastAsia" w:hAnsi="Calibri" w:hAnsiTheme="majorHAnsi"/>
      <w:color w:themeColor="text2" w:themeShade="BF" w:val="17365D"/>
      <w:spacing w:val="5"/>
      <w:kern w:val="28"/>
      <w:sz w:val="28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2026-02-20T10:36:42Z</dcterms:created>
  <dcterms:modified xsi:type="dcterms:W3CDTF">2026-02-20T10:36:42Z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