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1dcdb2962b6c6e04ba8f3f20796378c1183aed"/>
    <w:p>
      <w:pPr>
        <w:pStyle w:val="Heading1"/>
      </w:pPr>
      <w:r>
        <w:t xml:space="preserve">PROCEDURA ZAPEWNIANIA JAKOŚCI USŁUG SZKOLENIOWYCH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Społeczna Grupa Medialna Sp. z o.o.</w:t>
      </w:r>
      <w:r>
        <w:br/>
      </w:r>
      <w:r>
        <w:t xml:space="preserve">ul. Jana Siemińskiego 22, 44-100 Gliwice | www.mediagroup.org.pl</w:t>
      </w:r>
    </w:p>
    <w:p>
      <w:r>
        <w:pict>
          <v:rect style="width:0;height:1.5pt" o:hralign="center" o:hrstd="t" o:hr="t"/>
        </w:pict>
      </w:r>
    </w:p>
    <w:bookmarkStart w:id="19" w:name="i.-wstęp"/>
    <w:p>
      <w:pPr>
        <w:pStyle w:val="Heading2"/>
      </w:pPr>
      <w:r>
        <w:t xml:space="preserve">I. WSTĘP</w:t>
      </w:r>
    </w:p>
    <w:p>
      <w:pPr>
        <w:numPr>
          <w:ilvl w:val="0"/>
          <w:numId w:val="1001"/>
        </w:numPr>
      </w:pPr>
      <w:r>
        <w:t xml:space="preserve">Niniejsza procedura określa warunki zapewniania jakości usług szkoleniowych świadczonych przez Społeczną Grupę Medialną z siedzibą w Gliwicach.</w:t>
      </w:r>
    </w:p>
    <w:p>
      <w:pPr>
        <w:numPr>
          <w:ilvl w:val="0"/>
          <w:numId w:val="1001"/>
        </w:numPr>
      </w:pPr>
      <w:r>
        <w:t xml:space="preserve">Procedura wdraża wewnętrzną procedurę zapewniania jakości uwzględniającą wykorzystanie wniosków z ewaluacji szkoleń w odniesieniu do zakładanych celów.</w:t>
      </w:r>
    </w:p>
    <w:p>
      <w:pPr>
        <w:numPr>
          <w:ilvl w:val="0"/>
          <w:numId w:val="1001"/>
        </w:numPr>
      </w:pPr>
      <w:r>
        <w:t xml:space="preserve">Treść procedury podaje się do wiadomości pracownikom w formie pisemnej; pracownicy zobowiązują się do zapoznania się z treścią oraz przestrzegania jej zapisów.</w:t>
      </w:r>
    </w:p>
    <w:p>
      <w:r>
        <w:pict>
          <v:rect style="width:0;height:1.5pt" o:hralign="center" o:hrstd="t" o:hr="t"/>
        </w:pict>
      </w:r>
    </w:p>
    <w:bookmarkEnd w:id="19"/>
    <w:bookmarkStart w:id="20" w:name="X82c8235498facfedd522539e474ba996381da04"/>
    <w:p>
      <w:pPr>
        <w:pStyle w:val="Heading2"/>
      </w:pPr>
      <w:r>
        <w:t xml:space="preserve">II. KOMPETENCJE I ROZWÓJ KADRY SZKOLENIOWEJ</w:t>
      </w:r>
    </w:p>
    <w:p>
      <w:pPr>
        <w:numPr>
          <w:ilvl w:val="0"/>
          <w:numId w:val="1002"/>
        </w:numPr>
      </w:pPr>
      <w:r>
        <w:t xml:space="preserve">Wszyscy trenerzy spełniają następujące warunki:</w:t>
      </w:r>
    </w:p>
    <w:p>
      <w:pPr>
        <w:numPr>
          <w:ilvl w:val="0"/>
          <w:numId w:val="1000"/>
        </w:numPr>
      </w:pPr>
      <w:r>
        <w:rPr>
          <w:b/>
          <w:bCs/>
        </w:rPr>
        <w:t xml:space="preserve">a) kompetencje merytoryczne:</w:t>
      </w:r>
    </w:p>
    <w:p>
      <w:pPr>
        <w:pStyle w:val="Compact"/>
        <w:numPr>
          <w:ilvl w:val="1"/>
          <w:numId w:val="1003"/>
        </w:numPr>
      </w:pPr>
      <w:r>
        <w:t xml:space="preserve">posiadają doświadczenie zawodowe odpowiednie do zakresu (edukacja ekologiczna, warsztaty, ekowolontariat)</w:t>
      </w:r>
      <w:r>
        <w:t xml:space="preserve"> </w:t>
      </w:r>
      <w:r>
        <w:rPr>
          <w:b/>
          <w:bCs/>
        </w:rPr>
        <w:t xml:space="preserve">lub</w:t>
      </w:r>
    </w:p>
    <w:p>
      <w:pPr>
        <w:pStyle w:val="Compact"/>
        <w:numPr>
          <w:ilvl w:val="1"/>
          <w:numId w:val="1003"/>
        </w:numPr>
      </w:pPr>
      <w:r>
        <w:t xml:space="preserve">posiadają wykształcenie odpowiednie do tematyki prowadzonych szkoleń</w:t>
      </w:r>
    </w:p>
    <w:p>
      <w:pPr>
        <w:numPr>
          <w:ilvl w:val="0"/>
          <w:numId w:val="1000"/>
        </w:numPr>
      </w:pPr>
      <w:r>
        <w:rPr>
          <w:b/>
          <w:bCs/>
        </w:rPr>
        <w:t xml:space="preserve">b) kompetencje społeczne i metodyczne – kształcenie dorosłych:</w:t>
      </w:r>
    </w:p>
    <w:p>
      <w:pPr>
        <w:pStyle w:val="Compact"/>
        <w:numPr>
          <w:ilvl w:val="1"/>
          <w:numId w:val="1004"/>
        </w:numPr>
      </w:pPr>
      <w:r>
        <w:t xml:space="preserve">ukończył kurs min. 60h dydaktyczny / przygotowujący do kształcenia dorosłych</w:t>
      </w:r>
      <w:r>
        <w:t xml:space="preserve"> </w:t>
      </w:r>
      <w:r>
        <w:rPr>
          <w:b/>
          <w:bCs/>
        </w:rPr>
        <w:t xml:space="preserve">lub</w:t>
      </w:r>
    </w:p>
    <w:p>
      <w:pPr>
        <w:pStyle w:val="Compact"/>
        <w:numPr>
          <w:ilvl w:val="1"/>
          <w:numId w:val="1004"/>
        </w:numPr>
      </w:pPr>
      <w:r>
        <w:t xml:space="preserve">dysponuje certyfikatem potwierdzającym kompetencje zbliżone do ww.</w:t>
      </w:r>
      <w:r>
        <w:t xml:space="preserve"> </w:t>
      </w:r>
      <w:r>
        <w:rPr>
          <w:b/>
          <w:bCs/>
        </w:rPr>
        <w:t xml:space="preserve">lub</w:t>
      </w:r>
    </w:p>
    <w:p>
      <w:pPr>
        <w:pStyle w:val="Compact"/>
        <w:numPr>
          <w:ilvl w:val="1"/>
          <w:numId w:val="1004"/>
        </w:numPr>
      </w:pPr>
      <w:r>
        <w:t xml:space="preserve">posiada 750h doświadczenia w edukacji osób dorosłych</w:t>
      </w:r>
    </w:p>
    <w:p>
      <w:pPr>
        <w:numPr>
          <w:ilvl w:val="0"/>
          <w:numId w:val="1002"/>
        </w:numPr>
      </w:pPr>
      <w:r>
        <w:t xml:space="preserve">W rekrutacji stosowane są analogiczne kryteria (Procedura rekrutacji trenerów). Kandydat przedkłada CV oraz dokumenty potwierdzające kwalifikacje (dyplomy, certyfikaty, zaświadczenia).</w:t>
      </w:r>
    </w:p>
    <w:p>
      <w:pPr>
        <w:numPr>
          <w:ilvl w:val="0"/>
          <w:numId w:val="1002"/>
        </w:numPr>
      </w:pPr>
      <w:r>
        <w:t xml:space="preserve">Trenerzy uczestniczą w co najmniej jednym programie edukacyjnym trwającym min. 16h rocznie (szkolenia, konferencje, projekty Erasmus+ itp.).</w:t>
      </w:r>
    </w:p>
    <w:p>
      <w:pPr>
        <w:numPr>
          <w:ilvl w:val="0"/>
          <w:numId w:val="1002"/>
        </w:numPr>
      </w:pPr>
      <w:r>
        <w:t xml:space="preserve">Trener przy realizacji warsztatu zobowiązany jest minimum do:</w:t>
      </w:r>
    </w:p>
    <w:p>
      <w:pPr>
        <w:pStyle w:val="Compact"/>
        <w:numPr>
          <w:ilvl w:val="1"/>
          <w:numId w:val="1005"/>
        </w:numPr>
      </w:pPr>
      <w:r>
        <w:t xml:space="preserve">zapoznania się z wynikami analizy potrzeb,</w:t>
      </w:r>
    </w:p>
    <w:p>
      <w:pPr>
        <w:pStyle w:val="Compact"/>
        <w:numPr>
          <w:ilvl w:val="1"/>
          <w:numId w:val="1005"/>
        </w:numPr>
      </w:pPr>
      <w:r>
        <w:t xml:space="preserve">konsultacji z opiekunem merytorycznym przed i po szkoleniu,</w:t>
      </w:r>
    </w:p>
    <w:p>
      <w:pPr>
        <w:pStyle w:val="Compact"/>
        <w:numPr>
          <w:ilvl w:val="1"/>
          <w:numId w:val="1005"/>
        </w:numPr>
      </w:pPr>
      <w:r>
        <w:t xml:space="preserve">przygotowania programu zatwierdzonego przez opiekuna,</w:t>
      </w:r>
    </w:p>
    <w:p>
      <w:pPr>
        <w:pStyle w:val="Compact"/>
        <w:numPr>
          <w:ilvl w:val="1"/>
          <w:numId w:val="1005"/>
        </w:numPr>
      </w:pPr>
      <w:r>
        <w:t xml:space="preserve">opracowania materiałów respektujących prawa autorskie,</w:t>
      </w:r>
    </w:p>
    <w:p>
      <w:pPr>
        <w:pStyle w:val="Compact"/>
        <w:numPr>
          <w:ilvl w:val="1"/>
          <w:numId w:val="1005"/>
        </w:numPr>
      </w:pPr>
      <w:r>
        <w:t xml:space="preserve">przeprowadzenia szkolenia,</w:t>
      </w:r>
    </w:p>
    <w:p>
      <w:pPr>
        <w:pStyle w:val="Compact"/>
        <w:numPr>
          <w:ilvl w:val="1"/>
          <w:numId w:val="1005"/>
        </w:numPr>
      </w:pPr>
      <w:r>
        <w:t xml:space="preserve">prowadzenia dokumentacji.</w:t>
      </w:r>
    </w:p>
    <w:p>
      <w:pPr>
        <w:numPr>
          <w:ilvl w:val="0"/>
          <w:numId w:val="1002"/>
        </w:numPr>
      </w:pPr>
      <w:r>
        <w:t xml:space="preserve">SGM prowadzi bazę kadry merytorycznej.</w:t>
      </w:r>
    </w:p>
    <w:p>
      <w:pPr>
        <w:numPr>
          <w:ilvl w:val="0"/>
          <w:numId w:val="1002"/>
        </w:numPr>
      </w:pPr>
      <w:r>
        <w:t xml:space="preserve">SGM publikuje na stronie www.mediagroup.org.pl aktualne informacje o kadrze.</w:t>
      </w:r>
    </w:p>
    <w:p>
      <w:pPr>
        <w:numPr>
          <w:ilvl w:val="0"/>
          <w:numId w:val="1002"/>
        </w:numPr>
      </w:pPr>
      <w:r>
        <w:t xml:space="preserve">Prowadzona jest systematyczna ocena kadry – uwzględniająca wiedzę teoretyczną i praktyczną oraz kompetencje społeczne i metodyczne. Kadra oceniana jest w ramach każdego szkolenia (ankiety ewaluacyjne). Wyniki przekazywane są trenerom i dyskutowane w zespole.</w:t>
      </w:r>
    </w:p>
    <w:p>
      <w:pPr>
        <w:numPr>
          <w:ilvl w:val="0"/>
          <w:numId w:val="1002"/>
        </w:numPr>
      </w:pPr>
      <w:r>
        <w:t xml:space="preserve">Wyniki ewaluacji stanowią podstawę oceny kadry.</w:t>
      </w:r>
    </w:p>
    <w:p>
      <w:pPr>
        <w:numPr>
          <w:ilvl w:val="0"/>
          <w:numId w:val="1002"/>
        </w:numPr>
      </w:pPr>
      <w:r>
        <w:t xml:space="preserve">Nadzór nad pracą trenerów pełni opiekun merytoryczny.</w:t>
      </w:r>
    </w:p>
    <w:p>
      <w:pPr>
        <w:numPr>
          <w:ilvl w:val="0"/>
          <w:numId w:val="1002"/>
        </w:numPr>
      </w:pPr>
      <w:r>
        <w:t xml:space="preserve">Opiekun merytoryczny posiada minimum 3-letnie doświadczenie zawodowe lub min. 300 godzin praktyki w formie szkoleń oraz wykształcenie odpowiednie do tematyki (edukacja ekologiczna).</w:t>
      </w:r>
    </w:p>
    <w:p>
      <w:pPr>
        <w:pStyle w:val="FirstParagraph"/>
      </w:pPr>
      <w:r>
        <w:rPr>
          <w:b/>
          <w:bCs/>
        </w:rPr>
        <w:t xml:space="preserve">Opcjonalnie – systemowe rozwiązania dla kadry:</w:t>
      </w:r>
      <w:r>
        <w:t xml:space="preserve"> </w:t>
      </w:r>
      <w:r>
        <w:t xml:space="preserve">SGM może stosować m.in. indywidualne plany rozwoju, cykle szkoleń wewnętrznych, superwizję – w zależności od wielkości zespołu i potrzeb.</w:t>
      </w:r>
    </w:p>
    <w:p>
      <w:r>
        <w:pict>
          <v:rect style="width:0;height:1.5pt" o:hralign="center" o:hrstd="t" o:hr="t"/>
        </w:pict>
      </w:r>
    </w:p>
    <w:bookmarkEnd w:id="20"/>
    <w:bookmarkStart w:id="21" w:name="iii.-merytoryczne-przygotowanie-szkoleń"/>
    <w:p>
      <w:pPr>
        <w:pStyle w:val="Heading2"/>
      </w:pPr>
      <w:r>
        <w:t xml:space="preserve">III. MERYTORYCZNE PRZYGOTOWANIE SZKOLEŃ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Analiza potrzeb</w:t>
      </w:r>
      <w:r>
        <w:t xml:space="preserve"> </w:t>
      </w:r>
      <w:r>
        <w:t xml:space="preserve">– Szkolenia projektowane są w oparciu o analizę potrzeb (wnioski projektowe, kontakt z zamawiającym, ankieta 1.2). Metodyka uwzględnia specyfikę uczenia się uczestników oraz dynamikę procesu grupowego.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Metody kształcenia</w:t>
      </w:r>
      <w:r>
        <w:t xml:space="preserve"> </w:t>
      </w:r>
      <w:r>
        <w:t xml:space="preserve">– Wykorzystywane są różnorodne, angażujące metody warsztatowe dostosowane do specyfiki grupy i formy zajęć (warsztat, teren, design thinking). Metody adekwatne do deklarowanych rezultatów, treści szkolenia oraz specyfiki grupy. Opiekun merytoryczny ocenia adekwatność stosowanych metod do celów; metody sprzeczne z aktualnym stanem wiedzy nie są stosowane – można odwoływać się do raportów branżowych (np. Teaching and Learning Toolkit, ORE).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Programy</w:t>
      </w:r>
      <w:r>
        <w:t xml:space="preserve"> </w:t>
      </w:r>
      <w:r>
        <w:t xml:space="preserve">– odnoszą się ściśle do celów sformułowanych na bazie identyfikacji potrzeb. Każdy program określa: cel ogólny, cele szczegółowe (wiedza, umiejętności, postawy), zagadnienia tematyczne w powiązaniu ze stosowanymi metodami i czasem realizacji. Cele w formie efektów uczenia się, mierzalne.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Źródła wiedzy</w:t>
      </w:r>
      <w:r>
        <w:t xml:space="preserve"> </w:t>
      </w:r>
      <w:r>
        <w:t xml:space="preserve">– Zawartość merytoryczna oparta jest na rzetelnych i aktualnych źródłach wiedzy. Programy i materiały opracowywane na podstawie sprawdzonych źródeł.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Elementy wspierające utrwalanie efektów</w:t>
      </w:r>
      <w:r>
        <w:t xml:space="preserve"> </w:t>
      </w:r>
      <w:r>
        <w:t xml:space="preserve">– Standardowo uwzględniane: rekomendacje działań ekologicznych, materiały do samodzielnej pracy, scenariusze do wykorzystania w placówce, wskazówki dot. samokształcenia, kontakt do trenera.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Materiały dla uczestników</w:t>
      </w:r>
      <w:r>
        <w:t xml:space="preserve"> </w:t>
      </w:r>
      <w:r>
        <w:t xml:space="preserve">– Uczestnicy otrzymują materiały będące podsumowaniem treści (papier/elektronika). Materiały zawierają: odwołanie do źródeł wiedzy w postaci listy publikacji (tytuł, autor) oraz rekomendacje dalszego samokształcenia (minimum: lista polecanych publikacji). Materiały respektują prawo autorskie.</w:t>
      </w:r>
      <w:r>
        <w:t xml:space="preserve"> </w:t>
      </w:r>
      <w:r>
        <w:rPr>
          <w:b/>
          <w:bCs/>
        </w:rPr>
        <w:t xml:space="preserve">Prawa autorskie:</w:t>
      </w:r>
      <w:r>
        <w:t xml:space="preserve"> </w:t>
      </w:r>
      <w:r>
        <w:t xml:space="preserve">uregulowanie praw autorskich w umowach z kadrą – przywołanie autora i źródła utworów; uregulowanie wynagrodzenia za treści nieupowszechnione.</w:t>
      </w:r>
    </w:p>
    <w:p>
      <w:r>
        <w:pict>
          <v:rect style="width:0;height:1.5pt" o:hralign="center" o:hrstd="t" o:hr="t"/>
        </w:pict>
      </w:r>
    </w:p>
    <w:bookmarkEnd w:id="21"/>
    <w:bookmarkStart w:id="22" w:name="iv.-system-ewaluacji-szkoleń"/>
    <w:p>
      <w:pPr>
        <w:pStyle w:val="Heading2"/>
      </w:pPr>
      <w:r>
        <w:t xml:space="preserve">IV. SYSTEM EWALUACJI SZKOLEŃ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Podstawa ewaluacji</w:t>
      </w:r>
      <w:r>
        <w:t xml:space="preserve"> </w:t>
      </w:r>
      <w:r>
        <w:t xml:space="preserve">– Programy precyzyjnie, w sposób mierzalny formułują cele w języku efektów kształcenia, co umożliwia ocenę skuteczności procesu edukacyjnego.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Ocena każdorazowa</w:t>
      </w:r>
      <w:r>
        <w:t xml:space="preserve"> </w:t>
      </w:r>
      <w:r>
        <w:t xml:space="preserve">– W celu zapewnienia wysokiej jakości każdorazowo dokonywana jest ocena, minimum w formie ankiet ewaluacyjnych. Procedura oceny efektów uczenia – Procedura-oceny-efektow-uczenia-ewaluacji.md.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Ankieta ewaluacyjna</w:t>
      </w:r>
      <w:r>
        <w:t xml:space="preserve"> </w:t>
      </w:r>
      <w:r>
        <w:t xml:space="preserve">– przygotowywana przez opiekuna merytorycznego we współpracy z trenerem. Ankieta uwzględnia minimum: ocenę trenera (wiedza merytoryczna, umiejętności dydaktyczne, użyteczność ćwiczeń), ocenę aspektów organizacyjnych (materiały, warunki, organizacja).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Dodatkowe metody</w:t>
      </w:r>
      <w:r>
        <w:t xml:space="preserve"> </w:t>
      </w:r>
      <w:r>
        <w:t xml:space="preserve">– W zależności od oczekiwań zamawiającego stosowane są metody rozłożone w czasie (wywiad, testy wiedzy/kompetencji przed i po szkoleniu).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Raport</w:t>
      </w:r>
      <w:r>
        <w:t xml:space="preserve"> </w:t>
      </w:r>
      <w:r>
        <w:t xml:space="preserve">– SGM każdorazowo przygotowuje protokół/raport podsumowujący wyniki ewaluacji (Szablon raportu z ewaluacji szkolenia).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Udostępnianie wyników</w:t>
      </w:r>
      <w:r>
        <w:t xml:space="preserve"> </w:t>
      </w:r>
      <w:r>
        <w:t xml:space="preserve">– Wyniki przekazywane trenerowi i dyskutowane w ramach konsultacji z opiekunem merytorycznym – wdrożenie wniosków, rekomendacje dot. ulepszania programu, pracy trenera. W przypadku szkoleń zamkniętych raport udostępniany zlecającej instytucji.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Publikacja</w:t>
      </w:r>
      <w:r>
        <w:t xml:space="preserve"> </w:t>
      </w:r>
      <w:r>
        <w:t xml:space="preserve">– SGM publikuje na stronie www.mediagroup.org.pl informacje o działaniach w celu zapewnienia jakości oraz wybrane opinie uczestników i referencje.</w:t>
      </w:r>
    </w:p>
    <w:p>
      <w:r>
        <w:pict>
          <v:rect style="width:0;height:1.5pt" o:hralign="center" o:hrstd="t" o:hr="t"/>
        </w:pict>
      </w:r>
    </w:p>
    <w:bookmarkEnd w:id="22"/>
    <w:bookmarkStart w:id="23" w:name="Xbdd696e34971a4aef2bfe2bf6456b28216c2293"/>
    <w:p>
      <w:pPr>
        <w:pStyle w:val="Heading2"/>
      </w:pPr>
      <w:r>
        <w:t xml:space="preserve">V. PROCEDURY DZIAŁANIA DOTYCZĄCE NIEPRZEWIDZIANYCH OKOLICZNOŚCI</w:t>
      </w:r>
    </w:p>
    <w:p>
      <w:pPr>
        <w:pStyle w:val="FirstParagraph"/>
      </w:pPr>
      <w:r>
        <w:t xml:space="preserve">Stosuje się</w:t>
      </w:r>
      <w:r>
        <w:t xml:space="preserve"> </w:t>
      </w:r>
      <w:r>
        <w:rPr>
          <w:b/>
          <w:bCs/>
        </w:rPr>
        <w:t xml:space="preserve">Procedurę postępowania przy nieprzewidzianych trudnościach</w:t>
      </w:r>
      <w:r>
        <w:t xml:space="preserve">. Obejmuje ona sytuacje, w których usługa nie może zostać zrealizowana w przewidziany sposób, m.in.: nieobecność osoby prowadzącej usługę, niedostępność miejsca realizacji, zła pogoda przy zajęciach terenowych, awaria sprzętu, zdarzenie losowe. Działania uzgadniane w komunikacji trójstronnej: SGM – klient – trener.</w:t>
      </w:r>
    </w:p>
    <w:p>
      <w:r>
        <w:pict>
          <v:rect style="width:0;height:1.5pt" o:hralign="center" o:hrstd="t" o:hr="t"/>
        </w:pict>
      </w:r>
    </w:p>
    <w:bookmarkEnd w:id="23"/>
    <w:bookmarkStart w:id="24" w:name="vi.-procedura-reklamacji"/>
    <w:p>
      <w:pPr>
        <w:pStyle w:val="Heading2"/>
      </w:pPr>
      <w:r>
        <w:t xml:space="preserve">VI. PROCEDURA REKLAMACJI</w:t>
      </w:r>
    </w:p>
    <w:p>
      <w:pPr>
        <w:pStyle w:val="FirstParagraph"/>
      </w:pPr>
      <w:r>
        <w:t xml:space="preserve">Stosuje się</w:t>
      </w:r>
      <w:r>
        <w:t xml:space="preserve"> </w:t>
      </w:r>
      <w:r>
        <w:rPr>
          <w:b/>
          <w:bCs/>
        </w:rPr>
        <w:t xml:space="preserve">Procedurę reklamacji usług</w:t>
      </w:r>
      <w:r>
        <w:t xml:space="preserve">. Procedura dotyczy sytuacji, w których usługa nie spełniła oczekiwań odbiorców. Zawiera sposoby rozpatrywania reklamacji oraz możliwe formy rekompensaty. Procedura podana do wiadomości odbiorców (strona www, siedziba). Reklamacje przyjmowane w formie pisemnej/elektronicznej, rozpatrywane w terminie do 14 dni roboczych. Każda reklamacja podlega rejestracji – rejestr służy do corocznej oceny działania i analizy przyczyn oraz działań korygujących.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Numer wersji:</w:t>
      </w:r>
      <w:r>
        <w:t xml:space="preserve"> </w:t>
      </w:r>
      <w:r>
        <w:t xml:space="preserve">1.0</w:t>
      </w:r>
      <w:r>
        <w:br/>
      </w:r>
      <w:r>
        <w:rPr>
          <w:b/>
          <w:bCs/>
        </w:rPr>
        <w:t xml:space="preserve">Data wersji:</w:t>
      </w:r>
      <w:r>
        <w:t xml:space="preserve"> </w:t>
      </w:r>
      <w:r>
        <w:t xml:space="preserve">19.02.2026</w:t>
      </w:r>
      <w:r>
        <w:br/>
      </w:r>
      <w:r>
        <w:rPr>
          <w:b/>
          <w:bCs/>
        </w:rPr>
        <w:t xml:space="preserve">Data przyjęcia dokumentu w pierwotnej wersji:</w:t>
      </w:r>
      <w:r>
        <w:t xml:space="preserve"> </w:t>
      </w:r>
      <w:r>
        <w:t xml:space="preserve">19.02.2026</w:t>
      </w:r>
    </w:p>
    <w:bookmarkEnd w:id="24"/>
    <w:bookmarkEnd w:id="25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Jana Siemińskiego 22, 44-100 Gliwice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2026-02-20T10:07:06Z</dcterms:created>
  <dcterms:modified xsi:type="dcterms:W3CDTF">2026-02-20T10:07:06Z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