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program-szkolenia"/>
    <w:p>
      <w:pPr>
        <w:pStyle w:val="Heading1"/>
      </w:pPr>
      <w:r>
        <w:t xml:space="preserve">PROGRAM SZKOLENIA</w:t>
      </w:r>
    </w:p>
    <w:bookmarkStart w:id="20" w:name="senior-bezpieczny-w-sieci-2.0"/>
    <w:p>
      <w:pPr>
        <w:pStyle w:val="Heading2"/>
      </w:pPr>
      <w:r>
        <w:t xml:space="preserve">Senior Bezpieczny w Sieci 2.0</w:t>
      </w:r>
    </w:p>
    <w:bookmarkStart w:id="19" w:name="X273b20bcf8ade3f6e79e6cd41454dc7bb87a089"/>
    <w:p>
      <w:pPr>
        <w:pStyle w:val="Heading3"/>
      </w:pPr>
      <w:r>
        <w:t xml:space="preserve">Warsztat I — Rodzaje zagrożeń w sieci — jak nie dać się oszukać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Projekt:</w:t>
      </w:r>
      <w:r>
        <w:t xml:space="preserve"> </w:t>
      </w:r>
      <w:r>
        <w:t xml:space="preserve">Senior Bezpieczny w Sieci 2.0</w:t>
      </w:r>
      <w:r>
        <w:t xml:space="preserve"> </w:t>
      </w:r>
      <w:r>
        <w:rPr>
          <w:b/>
          <w:bCs/>
        </w:rPr>
        <w:t xml:space="preserve">Realizator:</w:t>
      </w:r>
      <w:r>
        <w:t xml:space="preserve"> </w:t>
      </w:r>
      <w:r>
        <w:t xml:space="preserve">Społeczna Grupa Medialna Sp. z o.o.</w:t>
      </w:r>
      <w:r>
        <w:t xml:space="preserve"> </w:t>
      </w:r>
      <w:r>
        <w:rPr>
          <w:b/>
          <w:bCs/>
        </w:rPr>
        <w:t xml:space="preserve">Finansowanie:</w:t>
      </w:r>
      <w:r>
        <w:t xml:space="preserve"> </w:t>
      </w:r>
      <w:r>
        <w:t xml:space="preserve">Program rządowy „Aktywni+” na rzecz Osób Starszych na lata 2021–2025. Edycja 2025</w:t>
      </w:r>
      <w:r>
        <w:t xml:space="preserve"> </w:t>
      </w:r>
      <w:r>
        <w:rPr>
          <w:b/>
          <w:bCs/>
        </w:rPr>
        <w:t xml:space="preserve">Numer warsztatu:</w:t>
      </w:r>
      <w:r>
        <w:t xml:space="preserve"> </w:t>
      </w:r>
      <w:r>
        <w:t xml:space="preserve">1 z 5</w:t>
      </w:r>
      <w:r>
        <w:t xml:space="preserve"> </w:t>
      </w:r>
      <w:r>
        <w:rPr>
          <w:b/>
          <w:bCs/>
        </w:rPr>
        <w:t xml:space="preserve">Czas trwania:</w:t>
      </w:r>
      <w:r>
        <w:t xml:space="preserve"> </w:t>
      </w:r>
      <w:r>
        <w:t xml:space="preserve">3 godziny zegarowe (180 minut)</w:t>
      </w:r>
      <w:r>
        <w:t xml:space="preserve"> </w:t>
      </w:r>
      <w:r>
        <w:rPr>
          <w:b/>
          <w:bCs/>
        </w:rPr>
        <w:t xml:space="preserve">Grupa docelowa:</w:t>
      </w:r>
      <w:r>
        <w:t xml:space="preserve"> </w:t>
      </w:r>
      <w:r>
        <w:t xml:space="preserve">Osoby 60+ z gmin wiejskich i miejsko-wiejskich woj. śląskiego</w:t>
      </w:r>
      <w:r>
        <w:t xml:space="preserve"> </w:t>
      </w:r>
      <w:r>
        <w:rPr>
          <w:b/>
          <w:bCs/>
        </w:rPr>
        <w:t xml:space="preserve">Liczba uczestników w grupie:</w:t>
      </w:r>
      <w:r>
        <w:t xml:space="preserve"> </w:t>
      </w:r>
      <w:r>
        <w:t xml:space="preserve">8–12 osób</w:t>
      </w:r>
      <w:r>
        <w:t xml:space="preserve"> </w:t>
      </w:r>
      <w:r>
        <w:rPr>
          <w:b/>
          <w:bCs/>
        </w:rPr>
        <w:t xml:space="preserve">Kadra:</w:t>
      </w:r>
      <w:r>
        <w:t xml:space="preserve"> </w:t>
      </w:r>
      <w:r>
        <w:t xml:space="preserve">Trener (min. 2-letnie doświadczenie w pracy z osobami 60+) + wolontariusz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1" w:name="cel-główny"/>
    <w:p>
      <w:pPr>
        <w:pStyle w:val="Heading2"/>
      </w:pPr>
      <w:r>
        <w:t xml:space="preserve">1. Cel główny</w:t>
      </w:r>
    </w:p>
    <w:p>
      <w:pPr>
        <w:pStyle w:val="FirstParagraph"/>
      </w:pPr>
      <w:r>
        <w:t xml:space="preserve">Po zakończeniu warsztatu uczestnik rozpoznaje główne rodzaje zagrożeń w Internecie i stosuje podstawowe zasady bezpiecznego korzystania z urządzeń cyfrowych.</w:t>
      </w:r>
    </w:p>
    <w:bookmarkEnd w:id="21"/>
    <w:bookmarkStart w:id="22" w:name="cele-szczegółowe-efekty-uczenia-się"/>
    <w:p>
      <w:pPr>
        <w:pStyle w:val="Heading2"/>
      </w:pPr>
      <w:r>
        <w:t xml:space="preserve">2. Cele szczegółowe (efekty uczenia się)</w:t>
      </w:r>
    </w:p>
    <w:p>
      <w:pPr>
        <w:pStyle w:val="FirstParagraph"/>
      </w:pPr>
      <w:r>
        <w:t xml:space="preserve">Po zakończeniu warsztatu uczestnik: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Wymienia i opisuje</w:t>
      </w:r>
      <w:r>
        <w:t xml:space="preserve"> </w:t>
      </w:r>
      <w:r>
        <w:t xml:space="preserve">co najmniej 5 rodzajów zagrożeń w sieci (phishing, smishing, spoofing, niebezpieczne linki, fake newsy, wirusy, ransomware).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Rozpoznaje</w:t>
      </w:r>
      <w:r>
        <w:t xml:space="preserve"> </w:t>
      </w:r>
      <w:r>
        <w:t xml:space="preserve">podejrzane wiadomości e-mail i SMS — wskazuje sygnały ostrzegawcze (błędy językowe, presja czasu, nieznany nadawca, fałszywy adres).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Odróżnia</w:t>
      </w:r>
      <w:r>
        <w:t xml:space="preserve"> </w:t>
      </w:r>
      <w:r>
        <w:t xml:space="preserve">bezpieczne strony internetowe od fałszywych — sprawdza certyfikat SSL, adres URL, weryfikuje domenę.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Stosuje</w:t>
      </w:r>
      <w:r>
        <w:t xml:space="preserve"> </w:t>
      </w:r>
      <w:r>
        <w:t xml:space="preserve">zasady bezpiecznego korzystania z urządzeń mobilnych — aktualizuje oprogramowanie, nie pobiera aplikacji z nieznanych źródeł, wylogowuje się po sesji.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Wie</w:t>
      </w:r>
      <w:r>
        <w:t xml:space="preserve">, czym jest program antywirusowy i potrafi uruchomić skanowanie urządzenia.</w:t>
      </w:r>
    </w:p>
    <w:bookmarkEnd w:id="22"/>
    <w:bookmarkStart w:id="23" w:name="ramowy-harmonogram"/>
    <w:p>
      <w:pPr>
        <w:pStyle w:val="Heading2"/>
      </w:pPr>
      <w:r>
        <w:t xml:space="preserve">3. Ramowy harmonogram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827"/>
        <w:gridCol w:w="3249"/>
        <w:gridCol w:w="1624"/>
        <w:gridCol w:w="12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Godzina</w:t>
            </w:r>
          </w:p>
        </w:tc>
        <w:tc>
          <w:tcPr/>
          <w:p>
            <w:pPr>
              <w:pStyle w:val="Compact"/>
            </w:pPr>
            <w:r>
              <w:t xml:space="preserve">Blok tematyczny</w:t>
            </w:r>
          </w:p>
        </w:tc>
        <w:tc>
          <w:tcPr/>
          <w:p>
            <w:pPr>
              <w:pStyle w:val="Compact"/>
            </w:pPr>
            <w:r>
              <w:t xml:space="preserve">Metoda</w:t>
            </w:r>
          </w:p>
        </w:tc>
        <w:tc>
          <w:tcPr/>
          <w:p>
            <w:pPr>
              <w:pStyle w:val="Compact"/>
            </w:pPr>
            <w:r>
              <w:t xml:space="preserve">Czas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0:00–0:20</w:t>
            </w:r>
          </w:p>
        </w:tc>
        <w:tc>
          <w:tcPr/>
          <w:p>
            <w:pPr>
              <w:pStyle w:val="Compact"/>
            </w:pPr>
            <w:r>
              <w:t xml:space="preserve">Powitanie i integracja — kawa, przedstawienie się, omówienie planu warsztatu, pretest</w:t>
            </w:r>
          </w:p>
        </w:tc>
        <w:tc>
          <w:tcPr/>
          <w:p>
            <w:pPr>
              <w:pStyle w:val="Compact"/>
            </w:pPr>
            <w:r>
              <w:t xml:space="preserve">Dyskusja, ankieta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0:20–0:50</w:t>
            </w:r>
          </w:p>
        </w:tc>
        <w:tc>
          <w:tcPr/>
          <w:p>
            <w:pPr>
              <w:pStyle w:val="Compact"/>
            </w:pPr>
            <w:r>
              <w:t xml:space="preserve">Rodzaje zagrożeń w sieci — phishing, smishing, spoofing, niebezpieczne linki i załączniki, fake newsy i dezinformacja; prezentacja z przykładami z życia</w:t>
            </w:r>
          </w:p>
        </w:tc>
        <w:tc>
          <w:tcPr/>
          <w:p>
            <w:pPr>
              <w:pStyle w:val="Compact"/>
            </w:pPr>
            <w:r>
              <w:t xml:space="preserve">Prezentacja multimedialna, dyskusja</w:t>
            </w:r>
          </w:p>
        </w:tc>
        <w:tc>
          <w:tcPr/>
          <w:p>
            <w:pPr>
              <w:pStyle w:val="Compact"/>
            </w:pPr>
            <w:r>
              <w:t xml:space="preserve">30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0:50–1:00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1:00–1:20</w:t>
            </w:r>
          </w:p>
        </w:tc>
        <w:tc>
          <w:tcPr/>
          <w:p>
            <w:pPr>
              <w:pStyle w:val="Compact"/>
            </w:pPr>
            <w:r>
              <w:t xml:space="preserve">Jak rozpoznać oszustwa internetowe — język i styl wiadomości, sprawdzanie adresów e-mail i linków, zasada „nie podawaj danych przez e-mail/SMS”</w:t>
            </w:r>
          </w:p>
        </w:tc>
        <w:tc>
          <w:tcPr/>
          <w:p>
            <w:pPr>
              <w:pStyle w:val="Compact"/>
            </w:pPr>
            <w:r>
              <w:t xml:space="preserve">Demonstracja na żywo, studium przypadku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1:20–1:40</w:t>
            </w:r>
          </w:p>
        </w:tc>
        <w:tc>
          <w:tcPr/>
          <w:p>
            <w:pPr>
              <w:pStyle w:val="Compact"/>
            </w:pPr>
            <w:r>
              <w:t xml:space="preserve">Ćwiczenie praktyczne 1 — rozpoznawanie podejrzanych e-maili i SMS-ów; uczestnicy oceniają zestaw przykładowych wiadomości</w:t>
            </w:r>
          </w:p>
        </w:tc>
        <w:tc>
          <w:tcPr/>
          <w:p>
            <w:pPr>
              <w:pStyle w:val="Compact"/>
            </w:pPr>
            <w:r>
              <w:t xml:space="preserve">Ćwiczenie indywidualne z omówieniem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1:40–1:55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 cateringowa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1:55–2:15</w:t>
            </w:r>
          </w:p>
        </w:tc>
        <w:tc>
          <w:tcPr/>
          <w:p>
            <w:pPr>
              <w:pStyle w:val="Compact"/>
            </w:pPr>
            <w:r>
              <w:t xml:space="preserve">Bezpieczne strony internetowe — certyfikat SSL, https, weryfikacja domeny; ćwiczenie praktyczne 2 — rozpoznawanie fałszywych stron</w:t>
            </w:r>
          </w:p>
        </w:tc>
        <w:tc>
          <w:tcPr/>
          <w:p>
            <w:pPr>
              <w:pStyle w:val="Compact"/>
            </w:pPr>
            <w:r>
              <w:t xml:space="preserve">Demonstracja, ćwiczenie na urządzeniach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2:15–2:35</w:t>
            </w:r>
          </w:p>
        </w:tc>
        <w:tc>
          <w:tcPr/>
          <w:p>
            <w:pPr>
              <w:pStyle w:val="Compact"/>
            </w:pPr>
            <w:r>
              <w:t xml:space="preserve">Bezpieczne korzystanie z urządzeń — aktualizacje, 2FA, wylogowywanie, publiczne Wi-Fi; ćwiczenie praktyczne 3 — sprawdzenie aktualizacji na własnym urządzeniu</w:t>
            </w:r>
          </w:p>
        </w:tc>
        <w:tc>
          <w:tcPr/>
          <w:p>
            <w:pPr>
              <w:pStyle w:val="Compact"/>
            </w:pPr>
            <w:r>
              <w:t xml:space="preserve">Instruktaż krok po kroku, ćwiczenie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2:35–2:45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2:45–3:00</w:t>
            </w:r>
          </w:p>
        </w:tc>
        <w:tc>
          <w:tcPr/>
          <w:p>
            <w:pPr>
              <w:pStyle w:val="Compact"/>
            </w:pPr>
            <w:r>
              <w:t xml:space="preserve">Ochrona przed wirusami — ransomware, spyware, trojany, programy antywirusowe; podsumowanie, pytania, informacja o „Cyberlinii dla seniora”, zapowiedź warsztatu 2</w:t>
            </w:r>
          </w:p>
        </w:tc>
        <w:tc>
          <w:tcPr/>
          <w:p>
            <w:pPr>
              <w:pStyle w:val="Compact"/>
            </w:pPr>
            <w:r>
              <w:t xml:space="preserve">Prezentacja, dyskusja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</w:tr>
    </w:tbl>
    <w:p>
      <w:pPr>
        <w:pStyle w:val="BodyText"/>
      </w:pPr>
      <w:r>
        <w:rPr>
          <w:b/>
          <w:bCs/>
        </w:rPr>
        <w:t xml:space="preserve">Łączny czas przerw: 35 minut. Łączny czas dydaktyczny: 145 minut.</w:t>
      </w:r>
    </w:p>
    <w:bookmarkEnd w:id="23"/>
    <w:bookmarkStart w:id="24" w:name="metody-pracy"/>
    <w:p>
      <w:pPr>
        <w:pStyle w:val="Heading2"/>
      </w:pPr>
      <w:r>
        <w:t xml:space="preserve">4. Metody pracy</w:t>
      </w:r>
    </w:p>
    <w:p>
      <w:pPr>
        <w:pStyle w:val="Compact"/>
        <w:numPr>
          <w:ilvl w:val="0"/>
          <w:numId w:val="1002"/>
        </w:numPr>
      </w:pPr>
      <w:r>
        <w:t xml:space="preserve">Prezentacja multimedialna (rzutnik + komputer)</w:t>
      </w:r>
    </w:p>
    <w:p>
      <w:pPr>
        <w:pStyle w:val="Compact"/>
        <w:numPr>
          <w:ilvl w:val="0"/>
          <w:numId w:val="1002"/>
        </w:numPr>
      </w:pPr>
      <w:r>
        <w:t xml:space="preserve">Dyskusja moderowana — wymiana doświadczeń uczestników</w:t>
      </w:r>
    </w:p>
    <w:p>
      <w:pPr>
        <w:pStyle w:val="Compact"/>
        <w:numPr>
          <w:ilvl w:val="0"/>
          <w:numId w:val="1002"/>
        </w:numPr>
      </w:pPr>
      <w:r>
        <w:t xml:space="preserve">Ćwiczenia praktyczne krok po kroku na urządzeniach uczestników (zasada BYOD)</w:t>
      </w:r>
    </w:p>
    <w:p>
      <w:pPr>
        <w:pStyle w:val="Compact"/>
        <w:numPr>
          <w:ilvl w:val="0"/>
          <w:numId w:val="1002"/>
        </w:numPr>
      </w:pPr>
      <w:r>
        <w:t xml:space="preserve">Demonstracja na żywo (trener pokazuje na ekranie)</w:t>
      </w:r>
    </w:p>
    <w:p>
      <w:pPr>
        <w:pStyle w:val="Compact"/>
        <w:numPr>
          <w:ilvl w:val="0"/>
          <w:numId w:val="1002"/>
        </w:numPr>
      </w:pPr>
      <w:r>
        <w:t xml:space="preserve">Studium przypadku — analiza rzeczywistych przykładów oszustw</w:t>
      </w:r>
    </w:p>
    <w:p>
      <w:pPr>
        <w:pStyle w:val="Compact"/>
        <w:numPr>
          <w:ilvl w:val="0"/>
          <w:numId w:val="1002"/>
        </w:numPr>
      </w:pPr>
      <w:r>
        <w:t xml:space="preserve">Praca indywidualna ze wsparciem trenera i wolontariusza</w:t>
      </w:r>
    </w:p>
    <w:bookmarkEnd w:id="24"/>
    <w:bookmarkStart w:id="25" w:name="materiały-szkoleniowe"/>
    <w:p>
      <w:pPr>
        <w:pStyle w:val="Heading2"/>
      </w:pPr>
      <w:r>
        <w:t xml:space="preserve">5. Materiały szkoleniowe</w:t>
      </w:r>
    </w:p>
    <w:p>
      <w:pPr>
        <w:pStyle w:val="Compact"/>
        <w:numPr>
          <w:ilvl w:val="0"/>
          <w:numId w:val="1003"/>
        </w:numPr>
      </w:pPr>
      <w:r>
        <w:t xml:space="preserve">Prezentacja multimedialna „Rodzaje zagrożeń w sieci — jak nie dać się oszukać” (37 slajdów)</w:t>
      </w:r>
    </w:p>
    <w:p>
      <w:pPr>
        <w:pStyle w:val="Compact"/>
        <w:numPr>
          <w:ilvl w:val="0"/>
          <w:numId w:val="1003"/>
        </w:numPr>
      </w:pPr>
      <w:r>
        <w:t xml:space="preserve">Materiały drukowane dla uczestników (duża czcionka, czytelny format)</w:t>
      </w:r>
    </w:p>
    <w:p>
      <w:pPr>
        <w:pStyle w:val="Compact"/>
        <w:numPr>
          <w:ilvl w:val="0"/>
          <w:numId w:val="1003"/>
        </w:numPr>
      </w:pPr>
      <w:r>
        <w:t xml:space="preserve">Broszura z numerem „Cyberlinii dla seniora”</w:t>
      </w:r>
    </w:p>
    <w:p>
      <w:pPr>
        <w:pStyle w:val="Compact"/>
        <w:numPr>
          <w:ilvl w:val="0"/>
          <w:numId w:val="1003"/>
        </w:numPr>
      </w:pPr>
      <w:r>
        <w:t xml:space="preserve">Pretest (warsztat 1)</w:t>
      </w:r>
    </w:p>
    <w:bookmarkEnd w:id="25"/>
    <w:bookmarkStart w:id="26" w:name="środki-dydaktyczne"/>
    <w:p>
      <w:pPr>
        <w:pStyle w:val="Heading2"/>
      </w:pPr>
      <w:r>
        <w:t xml:space="preserve">6. Środki dydaktyczne</w:t>
      </w:r>
    </w:p>
    <w:p>
      <w:pPr>
        <w:pStyle w:val="Compact"/>
        <w:numPr>
          <w:ilvl w:val="0"/>
          <w:numId w:val="1004"/>
        </w:numPr>
      </w:pPr>
      <w:r>
        <w:t xml:space="preserve">Komputer/laptop z prezentacją</w:t>
      </w:r>
    </w:p>
    <w:p>
      <w:pPr>
        <w:pStyle w:val="Compact"/>
        <w:numPr>
          <w:ilvl w:val="0"/>
          <w:numId w:val="1004"/>
        </w:numPr>
      </w:pPr>
      <w:r>
        <w:t xml:space="preserve">Rzutnik / tablica interaktywna</w:t>
      </w:r>
    </w:p>
    <w:p>
      <w:pPr>
        <w:pStyle w:val="Compact"/>
        <w:numPr>
          <w:ilvl w:val="0"/>
          <w:numId w:val="1004"/>
        </w:numPr>
      </w:pPr>
      <w:r>
        <w:t xml:space="preserve">Dostęp do Internetu (Wi-Fi lub Internet przenośny)</w:t>
      </w:r>
    </w:p>
    <w:p>
      <w:pPr>
        <w:pStyle w:val="Compact"/>
        <w:numPr>
          <w:ilvl w:val="0"/>
          <w:numId w:val="1004"/>
        </w:numPr>
      </w:pPr>
      <w:r>
        <w:t xml:space="preserve">Tablety SGM (dla uczestników bez własnych urządzeń)</w:t>
      </w:r>
    </w:p>
    <w:p>
      <w:pPr>
        <w:pStyle w:val="Compact"/>
        <w:numPr>
          <w:ilvl w:val="0"/>
          <w:numId w:val="1004"/>
        </w:numPr>
      </w:pPr>
      <w:r>
        <w:t xml:space="preserve">Przedłużacze, ładowarki</w:t>
      </w:r>
    </w:p>
    <w:bookmarkEnd w:id="26"/>
    <w:bookmarkStart w:id="27" w:name="ewaluacja"/>
    <w:p>
      <w:pPr>
        <w:pStyle w:val="Heading2"/>
      </w:pPr>
      <w:r>
        <w:t xml:space="preserve">7. Ewaluacja</w:t>
      </w:r>
    </w:p>
    <w:p>
      <w:pPr>
        <w:pStyle w:val="Compact"/>
        <w:numPr>
          <w:ilvl w:val="0"/>
          <w:numId w:val="1005"/>
        </w:numPr>
      </w:pPr>
      <w:r>
        <w:t xml:space="preserve">Pretest na początku warsztatu 1 (badanie wyjściowego poziomu wiedzy)</w:t>
      </w:r>
    </w:p>
    <w:p>
      <w:pPr>
        <w:pStyle w:val="Compact"/>
        <w:numPr>
          <w:ilvl w:val="0"/>
          <w:numId w:val="1005"/>
        </w:numPr>
      </w:pPr>
      <w:r>
        <w:t xml:space="preserve">Obserwacja aktywności uczestników podczas ćwiczeń praktycznych</w:t>
      </w:r>
    </w:p>
    <w:p>
      <w:pPr>
        <w:pStyle w:val="Compact"/>
        <w:numPr>
          <w:ilvl w:val="0"/>
          <w:numId w:val="1005"/>
        </w:numPr>
      </w:pPr>
      <w:r>
        <w:t xml:space="preserve">Pytania kontrolne w trakcie zajęć</w:t>
      </w:r>
    </w:p>
    <w:p>
      <w:pPr>
        <w:pStyle w:val="Compact"/>
        <w:numPr>
          <w:ilvl w:val="0"/>
          <w:numId w:val="1005"/>
        </w:numPr>
      </w:pPr>
      <w:r>
        <w:t xml:space="preserve">Posttest na zakończeniu warsztatu 5 (porównanie z pretestem)</w:t>
      </w:r>
    </w:p>
    <w:bookmarkEnd w:id="27"/>
    <w:bookmarkStart w:id="28" w:name="wsparcie-po-szkoleniu"/>
    <w:p>
      <w:pPr>
        <w:pStyle w:val="Heading2"/>
      </w:pPr>
      <w:r>
        <w:t xml:space="preserve">8. Wsparcie po szkoleniu</w:t>
      </w:r>
    </w:p>
    <w:p>
      <w:pPr>
        <w:pStyle w:val="Compact"/>
        <w:numPr>
          <w:ilvl w:val="0"/>
          <w:numId w:val="1006"/>
        </w:numPr>
      </w:pPr>
      <w:r>
        <w:t xml:space="preserve">„Cyberlinia dla seniora” — infolinia wsparcia (3 dni w tygodniu po 3 h)</w:t>
      </w:r>
    </w:p>
    <w:p>
      <w:pPr>
        <w:pStyle w:val="Compact"/>
        <w:numPr>
          <w:ilvl w:val="0"/>
          <w:numId w:val="1006"/>
        </w:numPr>
      </w:pPr>
      <w:r>
        <w:t xml:space="preserve">Materiały warsztatowe do zabrania do domu</w:t>
      </w:r>
    </w:p>
    <w:p>
      <w:pPr>
        <w:pStyle w:val="Compact"/>
        <w:numPr>
          <w:ilvl w:val="0"/>
          <w:numId w:val="1006"/>
        </w:numPr>
      </w:pPr>
      <w:r>
        <w:t xml:space="preserve">Kontakt do koordynatora projektu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Projekt dofinansowany ze środków rządowego programu wieloletniego na rzecz Osób Starszych „Aktywni+” na lata 2021–2025. Edycja 2025.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2026-02-25T17:56:14Z</dcterms:created>
  <dcterms:modified xsi:type="dcterms:W3CDTF">2026-02-25T17:56:14Z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