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9" w:name="program-szkolenia"/>
    <w:p>
      <w:pPr>
        <w:pStyle w:val="Heading1"/>
      </w:pPr>
      <w:r>
        <w:t xml:space="preserve">PROGRAM SZKOLENIA</w:t>
      </w:r>
    </w:p>
    <w:bookmarkStart w:id="20" w:name="senior-bezpieczny-w-sieci-2.0"/>
    <w:p>
      <w:pPr>
        <w:pStyle w:val="Heading2"/>
      </w:pPr>
      <w:r>
        <w:t xml:space="preserve">Senior Bezpieczny w Sieci 2.0</w:t>
      </w:r>
    </w:p>
    <w:bookmarkStart w:id="19" w:name="Xb83942192b9b1881e6d4fc069b7c93a27947641"/>
    <w:p>
      <w:pPr>
        <w:pStyle w:val="Heading3"/>
      </w:pPr>
      <w:r>
        <w:t xml:space="preserve">Warsztat III — Phishing i inne metody oszustw w Internecie — nie daj się złapać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Projekt:</w:t>
      </w:r>
      <w:r>
        <w:t xml:space="preserve"> </w:t>
      </w:r>
      <w:r>
        <w:t xml:space="preserve">Senior Bezpieczny w Sieci 2.0</w:t>
      </w:r>
      <w:r>
        <w:t xml:space="preserve"> </w:t>
      </w:r>
      <w:r>
        <w:rPr>
          <w:b/>
          <w:bCs/>
        </w:rPr>
        <w:t xml:space="preserve">Realizator:</w:t>
      </w:r>
      <w:r>
        <w:t xml:space="preserve"> </w:t>
      </w:r>
      <w:r>
        <w:t xml:space="preserve">Społeczna Grupa Medialna Sp. z o.o.</w:t>
      </w:r>
      <w:r>
        <w:t xml:space="preserve"> </w:t>
      </w:r>
      <w:r>
        <w:rPr>
          <w:b/>
          <w:bCs/>
        </w:rPr>
        <w:t xml:space="preserve">Finansowanie:</w:t>
      </w:r>
      <w:r>
        <w:t xml:space="preserve"> </w:t>
      </w:r>
      <w:r>
        <w:t xml:space="preserve">Program rządowy „Aktywni+” na rzecz Osób Starszych na lata 2021–2025. Edycja 2025</w:t>
      </w:r>
      <w:r>
        <w:t xml:space="preserve"> </w:t>
      </w:r>
      <w:r>
        <w:rPr>
          <w:b/>
          <w:bCs/>
        </w:rPr>
        <w:t xml:space="preserve">Numer warsztatu:</w:t>
      </w:r>
      <w:r>
        <w:t xml:space="preserve"> </w:t>
      </w:r>
      <w:r>
        <w:t xml:space="preserve">3 z 5</w:t>
      </w:r>
      <w:r>
        <w:t xml:space="preserve"> </w:t>
      </w:r>
      <w:r>
        <w:rPr>
          <w:b/>
          <w:bCs/>
        </w:rPr>
        <w:t xml:space="preserve">Czas trwania:</w:t>
      </w:r>
      <w:r>
        <w:t xml:space="preserve"> </w:t>
      </w:r>
      <w:r>
        <w:t xml:space="preserve">3 godziny zegarowe (180 minut)</w:t>
      </w:r>
      <w:r>
        <w:t xml:space="preserve"> </w:t>
      </w:r>
      <w:r>
        <w:rPr>
          <w:b/>
          <w:bCs/>
        </w:rPr>
        <w:t xml:space="preserve">Grupa docelowa:</w:t>
      </w:r>
      <w:r>
        <w:t xml:space="preserve"> </w:t>
      </w:r>
      <w:r>
        <w:t xml:space="preserve">Osoby 60+ z gmin wiejskich i miejsko-wiejskich woj. śląskiego</w:t>
      </w:r>
      <w:r>
        <w:t xml:space="preserve"> </w:t>
      </w:r>
      <w:r>
        <w:rPr>
          <w:b/>
          <w:bCs/>
        </w:rPr>
        <w:t xml:space="preserve">Liczba uczestników w grupie:</w:t>
      </w:r>
      <w:r>
        <w:t xml:space="preserve"> </w:t>
      </w:r>
      <w:r>
        <w:t xml:space="preserve">8–12 osób</w:t>
      </w:r>
      <w:r>
        <w:t xml:space="preserve"> </w:t>
      </w:r>
      <w:r>
        <w:rPr>
          <w:b/>
          <w:bCs/>
        </w:rPr>
        <w:t xml:space="preserve">Kadra:</w:t>
      </w:r>
      <w:r>
        <w:t xml:space="preserve"> </w:t>
      </w:r>
      <w:r>
        <w:t xml:space="preserve">Trener (min. 2-letnie doświadczenie w pracy z osobami 60+) + wolontariusz</w:t>
      </w:r>
    </w:p>
    <w:p>
      <w:r>
        <w:pict>
          <v:rect style="width:0;height:1.5pt" o:hralign="center" o:hrstd="t" o:hr="t"/>
        </w:pict>
      </w:r>
    </w:p>
    <w:bookmarkEnd w:id="19"/>
    <w:bookmarkEnd w:id="20"/>
    <w:bookmarkStart w:id="21" w:name="cel-główny"/>
    <w:p>
      <w:pPr>
        <w:pStyle w:val="Heading2"/>
      </w:pPr>
      <w:r>
        <w:t xml:space="preserve">1. Cel główny</w:t>
      </w:r>
    </w:p>
    <w:p>
      <w:pPr>
        <w:pStyle w:val="FirstParagraph"/>
      </w:pPr>
      <w:r>
        <w:t xml:space="preserve">Po zakończeniu warsztatu uczestnik rozpoznaje schematy działania oszustów internetowych (phishing, smishing, vishing, metoda „na wnuczka”) i wie, jak reagować w przypadku próby oszustwa.</w:t>
      </w:r>
    </w:p>
    <w:bookmarkEnd w:id="21"/>
    <w:bookmarkStart w:id="22" w:name="cele-szczegółowe-efekty-uczenia-się"/>
    <w:p>
      <w:pPr>
        <w:pStyle w:val="Heading2"/>
      </w:pPr>
      <w:r>
        <w:t xml:space="preserve">2. Cele szczegółowe (efekty uczenia się)</w:t>
      </w:r>
    </w:p>
    <w:p>
      <w:pPr>
        <w:pStyle w:val="FirstParagraph"/>
      </w:pPr>
      <w:r>
        <w:t xml:space="preserve">Po zakończeniu warsztatu uczestnik: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Definiuje</w:t>
      </w:r>
      <w:r>
        <w:t xml:space="preserve"> </w:t>
      </w:r>
      <w:r>
        <w:t xml:space="preserve">pojęcie phishingu i wymienia jego formy — e-mail phishing, spear phishing, smishing (SMS), vishing (telefon), fałszywe strony internetowe.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Rozpoznaje</w:t>
      </w:r>
      <w:r>
        <w:t xml:space="preserve"> </w:t>
      </w:r>
      <w:r>
        <w:t xml:space="preserve">podejrzane wiadomości — analizuje treść pod kątem błędów językowych, fałszywego nadawcy, presji czasu, podejrzanych linków.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Opisuje</w:t>
      </w:r>
      <w:r>
        <w:t xml:space="preserve"> </w:t>
      </w:r>
      <w:r>
        <w:t xml:space="preserve">schematy popularnych oszustw — metoda „na wnuczka”, „nigeryjski przekręt”, fałszywe reklamy inwestycyjne, deepfake.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Stosuje</w:t>
      </w:r>
      <w:r>
        <w:t xml:space="preserve"> </w:t>
      </w:r>
      <w:r>
        <w:t xml:space="preserve">narzędzia weryfikacji linków — potrafi sprawdzić podejrzany link w VirusTotal, PhishTank lub Google Transparency Report.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Wie</w:t>
      </w:r>
      <w:r>
        <w:t xml:space="preserve">, jak reagować w przypadku podejrzenia oszustwa — nie klika, nie podaje danych, kontaktuje się z bankiem, zgłasza do CERT Polska.</w:t>
      </w:r>
    </w:p>
    <w:bookmarkEnd w:id="22"/>
    <w:bookmarkStart w:id="23" w:name="ramowy-harmonogram"/>
    <w:p>
      <w:pPr>
        <w:pStyle w:val="Heading2"/>
      </w:pPr>
      <w:r>
        <w:t xml:space="preserve">3. Ramowy harmonogram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  <w:tblBorders>
          <w:top w:val="single" w:sz="4" w:space="0" w:color="000000"/>
          <w:bottom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1827"/>
        <w:gridCol w:w="3249"/>
        <w:gridCol w:w="1624"/>
        <w:gridCol w:w="1218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Godzina</w:t>
            </w:r>
          </w:p>
        </w:tc>
        <w:tc>
          <w:tcPr/>
          <w:p>
            <w:pPr>
              <w:pStyle w:val="Compact"/>
            </w:pPr>
            <w:r>
              <w:t xml:space="preserve">Blok tematyczny</w:t>
            </w:r>
          </w:p>
        </w:tc>
        <w:tc>
          <w:tcPr/>
          <w:p>
            <w:pPr>
              <w:pStyle w:val="Compact"/>
            </w:pPr>
            <w:r>
              <w:t xml:space="preserve">Metoda</w:t>
            </w:r>
          </w:p>
        </w:tc>
        <w:tc>
          <w:tcPr/>
          <w:p>
            <w:pPr>
              <w:pStyle w:val="Compact"/>
            </w:pPr>
            <w:r>
              <w:t xml:space="preserve">Czas</w:t>
            </w:r>
          </w:p>
        </w:tc>
      </w:tr>
      <w:tr>
        <w:tc>
          <w:tcPr/>
          <w:p>
            <w:pPr>
              <w:pStyle w:val="Compact"/>
            </w:pPr>
            <w:r>
              <w:t xml:space="preserve">0:00–0:15</w:t>
            </w:r>
          </w:p>
        </w:tc>
        <w:tc>
          <w:tcPr/>
          <w:p>
            <w:pPr>
              <w:pStyle w:val="Compact"/>
            </w:pPr>
            <w:r>
              <w:t xml:space="preserve">Powitanie — kawa, rozmowa o doświadczeniach od ostatniego warsztatu; pytanie: czy ktoś spotkał się z oszustwem?</w:t>
            </w:r>
          </w:p>
        </w:tc>
        <w:tc>
          <w:tcPr/>
          <w:p>
            <w:pPr>
              <w:pStyle w:val="Compact"/>
            </w:pPr>
            <w:r>
              <w:t xml:space="preserve">Dyskusja</w:t>
            </w:r>
          </w:p>
        </w:tc>
        <w:tc>
          <w:tcPr/>
          <w:p>
            <w:pPr>
              <w:pStyle w:val="Compac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0:15–0:45</w:t>
            </w:r>
          </w:p>
        </w:tc>
        <w:tc>
          <w:tcPr/>
          <w:p>
            <w:pPr>
              <w:pStyle w:val="Compact"/>
            </w:pPr>
            <w:r>
              <w:t xml:space="preserve">Czym jest phishing — definicja, formy (e-mail, SMS, telefon, fałszywe strony); jak oszuści zdobywają nasze dane; przykłady z życia</w:t>
            </w:r>
          </w:p>
        </w:tc>
        <w:tc>
          <w:tcPr/>
          <w:p>
            <w:pPr>
              <w:pStyle w:val="Compact"/>
            </w:pPr>
            <w:r>
              <w:t xml:space="preserve">Prezentacja multimedialna, dyskusja</w:t>
            </w:r>
          </w:p>
        </w:tc>
        <w:tc>
          <w:tcPr/>
          <w:p>
            <w:pPr>
              <w:pStyle w:val="Compact"/>
            </w:pPr>
            <w:r>
              <w:t xml:space="preserve">30 min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0:45–0:55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Przerwa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10 min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0:55–1:20</w:t>
            </w:r>
          </w:p>
        </w:tc>
        <w:tc>
          <w:tcPr/>
          <w:p>
            <w:pPr>
              <w:pStyle w:val="Compact"/>
            </w:pPr>
            <w:r>
              <w:t xml:space="preserve">Rodzaje oszustw internetowych — metoda „na wnuczka” (schemat 3-krokowy), „nigeryjski przekręt” (warianty), fałszywe reklamy inwestycyjne</w:t>
            </w:r>
          </w:p>
        </w:tc>
        <w:tc>
          <w:tcPr/>
          <w:p>
            <w:pPr>
              <w:pStyle w:val="Compact"/>
            </w:pPr>
            <w:r>
              <w:t xml:space="preserve">Prezentacja, studium przypadku</w:t>
            </w:r>
          </w:p>
        </w:tc>
        <w:tc>
          <w:tcPr/>
          <w:p>
            <w:pPr>
              <w:pStyle w:val="Compact"/>
            </w:pPr>
            <w:r>
              <w:t xml:space="preserve">25 min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1:20–1:40</w:t>
            </w:r>
          </w:p>
        </w:tc>
        <w:tc>
          <w:tcPr/>
          <w:p>
            <w:pPr>
              <w:pStyle w:val="Compact"/>
            </w:pPr>
            <w:r>
              <w:t xml:space="preserve">Deepfake — nowe zagrożenie — czym jest deepfake, jak AI tworzy fałszywe nagrania, jak rozpoznać zmanipulowany materiał</w:t>
            </w:r>
          </w:p>
        </w:tc>
        <w:tc>
          <w:tcPr/>
          <w:p>
            <w:pPr>
              <w:pStyle w:val="Compact"/>
            </w:pPr>
            <w:r>
              <w:t xml:space="preserve">Prezentacja, ćwiczenie grupowe</w:t>
            </w:r>
          </w:p>
        </w:tc>
        <w:tc>
          <w:tcPr/>
          <w:p>
            <w:pPr>
              <w:pStyle w:val="Compac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1:40–1:55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Przerwa cateringowa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15 min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1:55–2:20</w:t>
            </w:r>
          </w:p>
        </w:tc>
        <w:tc>
          <w:tcPr/>
          <w:p>
            <w:pPr>
              <w:pStyle w:val="Compact"/>
            </w:pPr>
            <w:r>
              <w:t xml:space="preserve">Ćwiczenie praktyczne 1 — rozpoznawanie podejrzanych wiadomości; uczestnicy oceniają zestaw przykładowych e-maili i SMS-ów</w:t>
            </w:r>
          </w:p>
        </w:tc>
        <w:tc>
          <w:tcPr/>
          <w:p>
            <w:pPr>
              <w:pStyle w:val="Compact"/>
            </w:pPr>
            <w:r>
              <w:t xml:space="preserve">Ćwiczenie indywidualne, omówienie grupowe</w:t>
            </w:r>
          </w:p>
        </w:tc>
        <w:tc>
          <w:tcPr/>
          <w:p>
            <w:pPr>
              <w:pStyle w:val="Compact"/>
            </w:pPr>
            <w:r>
              <w:t xml:space="preserve">25 min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2:20–2:40</w:t>
            </w:r>
          </w:p>
        </w:tc>
        <w:tc>
          <w:tcPr/>
          <w:p>
            <w:pPr>
              <w:pStyle w:val="Compact"/>
            </w:pPr>
            <w:r>
              <w:t xml:space="preserve">Narzędzia weryfikacji — VirusTotal, PhishTank, Google Transparency Report; ćwiczenie praktyczne 2 — weryfikacja linków na urządzeniach</w:t>
            </w:r>
          </w:p>
        </w:tc>
        <w:tc>
          <w:tcPr/>
          <w:p>
            <w:pPr>
              <w:pStyle w:val="Compact"/>
            </w:pPr>
            <w:r>
              <w:t xml:space="preserve">Demonstracja, ćwiczenie na urządzeniach</w:t>
            </w:r>
          </w:p>
        </w:tc>
        <w:tc>
          <w:tcPr/>
          <w:p>
            <w:pPr>
              <w:pStyle w:val="Compac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2:40–2:50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Przerwa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10 min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2:50–3:00</w:t>
            </w:r>
          </w:p>
        </w:tc>
        <w:tc>
          <w:tcPr/>
          <w:p>
            <w:pPr>
              <w:pStyle w:val="Compact"/>
            </w:pPr>
            <w:r>
              <w:t xml:space="preserve">Jak reagować na oszustwo — nie klikać, nie podawać danych, zadzwonić do banku, zgłosić do CERT Polska; podsumowanie, pytania, zapowiedź warsztatu 4</w:t>
            </w:r>
          </w:p>
        </w:tc>
        <w:tc>
          <w:tcPr/>
          <w:p>
            <w:pPr>
              <w:pStyle w:val="Compact"/>
            </w:pPr>
            <w:r>
              <w:t xml:space="preserve">Instruktaż, dyskusja</w:t>
            </w:r>
          </w:p>
        </w:tc>
        <w:tc>
          <w:tcPr/>
          <w:p>
            <w:pPr>
              <w:pStyle w:val="Compact"/>
            </w:pPr>
            <w:r>
              <w:t xml:space="preserve">10 min</w:t>
            </w:r>
          </w:p>
        </w:tc>
      </w:tr>
    </w:tbl>
    <w:p>
      <w:pPr>
        <w:pStyle w:val="BodyText"/>
      </w:pPr>
      <w:r>
        <w:rPr>
          <w:b/>
          <w:bCs/>
        </w:rPr>
        <w:t xml:space="preserve">Łączny czas przerw: 35 minut. Łączny czas dydaktyczny: 145 minut.</w:t>
      </w:r>
    </w:p>
    <w:bookmarkEnd w:id="23"/>
    <w:bookmarkStart w:id="24" w:name="metody-pracy"/>
    <w:p>
      <w:pPr>
        <w:pStyle w:val="Heading2"/>
      </w:pPr>
      <w:r>
        <w:t xml:space="preserve">4. Metody pracy</w:t>
      </w:r>
    </w:p>
    <w:p>
      <w:pPr>
        <w:pStyle w:val="Compact"/>
        <w:numPr>
          <w:ilvl w:val="0"/>
          <w:numId w:val="1002"/>
        </w:numPr>
      </w:pPr>
      <w:r>
        <w:t xml:space="preserve">Prezentacja multimedialna (rzutnik + komputer)</w:t>
      </w:r>
    </w:p>
    <w:p>
      <w:pPr>
        <w:pStyle w:val="Compact"/>
        <w:numPr>
          <w:ilvl w:val="0"/>
          <w:numId w:val="1002"/>
        </w:numPr>
      </w:pPr>
      <w:r>
        <w:t xml:space="preserve">Dyskusja moderowana — wymiana doświadczeń uczestników z oszustwami</w:t>
      </w:r>
    </w:p>
    <w:p>
      <w:pPr>
        <w:pStyle w:val="Compact"/>
        <w:numPr>
          <w:ilvl w:val="0"/>
          <w:numId w:val="1002"/>
        </w:numPr>
      </w:pPr>
      <w:r>
        <w:t xml:space="preserve">Studium przypadku — analiza rzeczywistych schematów oszustw</w:t>
      </w:r>
    </w:p>
    <w:p>
      <w:pPr>
        <w:pStyle w:val="Compact"/>
        <w:numPr>
          <w:ilvl w:val="0"/>
          <w:numId w:val="1002"/>
        </w:numPr>
      </w:pPr>
      <w:r>
        <w:t xml:space="preserve">Ćwiczenia praktyczne na urządzeniach uczestników (zasada BYOD)</w:t>
      </w:r>
    </w:p>
    <w:p>
      <w:pPr>
        <w:pStyle w:val="Compact"/>
        <w:numPr>
          <w:ilvl w:val="0"/>
          <w:numId w:val="1002"/>
        </w:numPr>
      </w:pPr>
      <w:r>
        <w:t xml:space="preserve">Demonstracja na żywo — weryfikacja linków</w:t>
      </w:r>
    </w:p>
    <w:p>
      <w:pPr>
        <w:pStyle w:val="Compact"/>
        <w:numPr>
          <w:ilvl w:val="0"/>
          <w:numId w:val="1002"/>
        </w:numPr>
      </w:pPr>
      <w:r>
        <w:t xml:space="preserve">Ćwiczenie grupowe — porównywanie nagrań deepfake z oryginałami</w:t>
      </w:r>
    </w:p>
    <w:bookmarkEnd w:id="24"/>
    <w:bookmarkStart w:id="25" w:name="materiały-szkoleniowe"/>
    <w:p>
      <w:pPr>
        <w:pStyle w:val="Heading2"/>
      </w:pPr>
      <w:r>
        <w:t xml:space="preserve">5. Materiały szkoleniowe</w:t>
      </w:r>
    </w:p>
    <w:p>
      <w:pPr>
        <w:pStyle w:val="Compact"/>
        <w:numPr>
          <w:ilvl w:val="0"/>
          <w:numId w:val="1003"/>
        </w:numPr>
      </w:pPr>
      <w:r>
        <w:t xml:space="preserve">Prezentacja multimedialna „Phishing i inne metody oszustw w Internecie — nie daj się złapać” (31 slajdów)</w:t>
      </w:r>
    </w:p>
    <w:p>
      <w:pPr>
        <w:pStyle w:val="Compact"/>
        <w:numPr>
          <w:ilvl w:val="0"/>
          <w:numId w:val="1003"/>
        </w:numPr>
      </w:pPr>
      <w:r>
        <w:t xml:space="preserve">Materiały drukowane z przykładami podejrzanych wiadomości (duża czcionka)</w:t>
      </w:r>
    </w:p>
    <w:p>
      <w:pPr>
        <w:pStyle w:val="Compact"/>
        <w:numPr>
          <w:ilvl w:val="0"/>
          <w:numId w:val="1003"/>
        </w:numPr>
      </w:pPr>
      <w:r>
        <w:t xml:space="preserve">Broszura — instrukcja reagowania na oszustwa (numer CERT Polska, numer banku)</w:t>
      </w:r>
    </w:p>
    <w:bookmarkEnd w:id="25"/>
    <w:bookmarkStart w:id="26" w:name="środki-dydaktyczne"/>
    <w:p>
      <w:pPr>
        <w:pStyle w:val="Heading2"/>
      </w:pPr>
      <w:r>
        <w:t xml:space="preserve">6. Środki dydaktyczne</w:t>
      </w:r>
    </w:p>
    <w:p>
      <w:pPr>
        <w:pStyle w:val="Compact"/>
        <w:numPr>
          <w:ilvl w:val="0"/>
          <w:numId w:val="1004"/>
        </w:numPr>
      </w:pPr>
      <w:r>
        <w:t xml:space="preserve">Komputer/laptop z prezentacją</w:t>
      </w:r>
    </w:p>
    <w:p>
      <w:pPr>
        <w:pStyle w:val="Compact"/>
        <w:numPr>
          <w:ilvl w:val="0"/>
          <w:numId w:val="1004"/>
        </w:numPr>
      </w:pPr>
      <w:r>
        <w:t xml:space="preserve">Rzutnik / tablica interaktywna</w:t>
      </w:r>
    </w:p>
    <w:p>
      <w:pPr>
        <w:pStyle w:val="Compact"/>
        <w:numPr>
          <w:ilvl w:val="0"/>
          <w:numId w:val="1004"/>
        </w:numPr>
      </w:pPr>
      <w:r>
        <w:t xml:space="preserve">Dostęp do Internetu (Wi-Fi lub Internet przenośny)</w:t>
      </w:r>
    </w:p>
    <w:p>
      <w:pPr>
        <w:pStyle w:val="Compact"/>
        <w:numPr>
          <w:ilvl w:val="0"/>
          <w:numId w:val="1004"/>
        </w:numPr>
      </w:pPr>
      <w:r>
        <w:t xml:space="preserve">Tablety SGM (dla uczestników bez własnych urządzeń)</w:t>
      </w:r>
    </w:p>
    <w:p>
      <w:pPr>
        <w:pStyle w:val="Compact"/>
        <w:numPr>
          <w:ilvl w:val="0"/>
          <w:numId w:val="1004"/>
        </w:numPr>
      </w:pPr>
      <w:r>
        <w:t xml:space="preserve">Przedłużacze, ładowarki</w:t>
      </w:r>
    </w:p>
    <w:bookmarkEnd w:id="26"/>
    <w:bookmarkStart w:id="27" w:name="ewaluacja"/>
    <w:p>
      <w:pPr>
        <w:pStyle w:val="Heading2"/>
      </w:pPr>
      <w:r>
        <w:t xml:space="preserve">7. Ewaluacja</w:t>
      </w:r>
    </w:p>
    <w:p>
      <w:pPr>
        <w:pStyle w:val="Compact"/>
        <w:numPr>
          <w:ilvl w:val="0"/>
          <w:numId w:val="1005"/>
        </w:numPr>
      </w:pPr>
      <w:r>
        <w:t xml:space="preserve">Obserwacja aktywności uczestników podczas ćwiczeń praktycznych</w:t>
      </w:r>
    </w:p>
    <w:p>
      <w:pPr>
        <w:pStyle w:val="Compact"/>
        <w:numPr>
          <w:ilvl w:val="0"/>
          <w:numId w:val="1005"/>
        </w:numPr>
      </w:pPr>
      <w:r>
        <w:t xml:space="preserve">Wynik ćwiczenia 1 — poprawność oceny podejrzanych wiadomości</w:t>
      </w:r>
    </w:p>
    <w:p>
      <w:pPr>
        <w:pStyle w:val="Compact"/>
        <w:numPr>
          <w:ilvl w:val="0"/>
          <w:numId w:val="1005"/>
        </w:numPr>
      </w:pPr>
      <w:r>
        <w:t xml:space="preserve">Pytania kontrolne w trakcie zajęć</w:t>
      </w:r>
    </w:p>
    <w:bookmarkEnd w:id="27"/>
    <w:bookmarkStart w:id="28" w:name="wsparcie-po-szkoleniu"/>
    <w:p>
      <w:pPr>
        <w:pStyle w:val="Heading2"/>
      </w:pPr>
      <w:r>
        <w:t xml:space="preserve">8. Wsparcie po szkoleniu</w:t>
      </w:r>
    </w:p>
    <w:p>
      <w:pPr>
        <w:pStyle w:val="Compact"/>
        <w:numPr>
          <w:ilvl w:val="0"/>
          <w:numId w:val="1006"/>
        </w:numPr>
      </w:pPr>
      <w:r>
        <w:t xml:space="preserve">„Cyberlinia dla seniora” — infolinia wsparcia</w:t>
      </w:r>
    </w:p>
    <w:p>
      <w:pPr>
        <w:pStyle w:val="Compact"/>
        <w:numPr>
          <w:ilvl w:val="0"/>
          <w:numId w:val="1006"/>
        </w:numPr>
      </w:pPr>
      <w:r>
        <w:t xml:space="preserve">Broszura z instrukcją reagowania na oszustwa</w:t>
      </w:r>
    </w:p>
    <w:p>
      <w:pPr>
        <w:pStyle w:val="Compact"/>
        <w:numPr>
          <w:ilvl w:val="0"/>
          <w:numId w:val="1006"/>
        </w:numPr>
      </w:pPr>
      <w:r>
        <w:t xml:space="preserve">Materiały warsztatowe do zabrania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Projekt dofinansowany ze środków rządowego programu wieloletniego na rzecz Osób Starszych „Aktywni+” na lata 2021–2025. Edycja 2025.</w:t>
      </w:r>
    </w:p>
    <w:bookmarkEnd w:id="28"/>
    <w:bookmarkEnd w:id="29"/>
    <w:sectPr w:rsidR="00FC693F" w:rsidRPr="0006063C" w:rsidSect="00034616">
      <w:headerReference r:id="rId9" w:type="default"/>
      <w:footerReference r:id="rId10" w:type="default"/>
      <w:pgSz w:h="15840" w:w="12240"/>
      <w:pgMar w:bottom="1417" w:footer="720" w:gutter="0" w:header="720" w:left="1417" w:right="1417" w:top="1417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Społeczna Grupa Medialna Sp. z o.o. | ul. Marszałkowska 31, 42-400 Zawiercie | 732 259 513 | kontakt@mediagroup.org.pl | www.mediagroup.org.pl</w:t>
    </w:r>
  </w:p>
  <w:p>
    <w:pPr>
      <w:jc w:val="right"/>
    </w:pPr>
    <w:r>
      <w:t xml:space="preserve">Strona </w:t>
    </w:r>
    <w:r>
      <w:fldChar w:fldCharType="begin"/>
      <w:instrText xml:space="preserve">PAGE</w:instrText>
      <w:fldChar w:fldCharType="end"/>
    </w:r>
    <w:r>
      <w:t xml:space="preserve"> z </w:t>
    </w:r>
    <w:r>
      <w:fldChar w:fldCharType="begin"/>
      <w:instrText xml:space="preserve">NUMPAGES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drawing>
        <wp:inline xmlns:a="http://schemas.openxmlformats.org/drawingml/2006/main" xmlns:pic="http://schemas.openxmlformats.org/drawingml/2006/picture">
          <wp:extent cx="720000" cy="720000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imag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spacing w:after="0" w:before="0" w:line="276" w:lineRule="auto"/>
      <w:jc w:val="left"/>
    </w:pPr>
    <w:rPr>
      <w:rFonts w:ascii="Calibri" w:hAnsi="Calibri"/>
      <w:sz w:val="22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480"/>
      <w:jc w:val="left"/>
      <w:outlineLvl w:val="0"/>
    </w:pPr>
    <w:rPr>
      <w:rFonts w:ascii="Calibri" w:asciiTheme="majorHAnsi" w:cstheme="majorBidi" w:eastAsiaTheme="majorEastAsia" w:hAnsi="Calibri" w:hAnsiTheme="majorHAnsi"/>
      <w:b/>
      <w:bCs/>
      <w:color w:val="000000"/>
      <w:sz w:val="28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0" w:before="200"/>
      <w:jc w:val="left"/>
      <w:outlineLvl w:val="1"/>
    </w:pPr>
    <w:rPr>
      <w:rFonts w:ascii="Calibri" w:asciiTheme="majorHAnsi" w:cstheme="majorBidi" w:eastAsiaTheme="majorEastAsia" w:hAnsi="Calibri" w:hAnsiTheme="majorHAnsi"/>
      <w:b/>
      <w:bCs/>
      <w:color w:val="000000"/>
      <w:sz w:val="28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jc w:val="left"/>
      <w:outlineLvl w:val="2"/>
    </w:pPr>
    <w:rPr>
      <w:rFonts w:ascii="Calibri" w:asciiTheme="majorHAnsi" w:cstheme="majorBidi" w:eastAsiaTheme="majorEastAsia" w:hAnsi="Calibri" w:hAnsiTheme="majorHAnsi"/>
      <w:b/>
      <w:bCs/>
      <w:color w:val="000000"/>
      <w:sz w:val="28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  <w:jc w:val="center"/>
    </w:pPr>
    <w:rPr>
      <w:rFonts w:ascii="Calibri" w:asciiTheme="majorHAnsi" w:cstheme="majorBidi" w:eastAsiaTheme="majorEastAsia" w:hAnsi="Calibri" w:hAnsiTheme="majorHAnsi"/>
      <w:color w:themeColor="text2" w:themeShade="BF" w:val="17365D"/>
      <w:spacing w:val="5"/>
      <w:kern w:val="28"/>
      <w:sz w:val="28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18" Type="http://schemas.openxmlformats.org/officeDocument/2006/relationships/numbering" Target="numbering.xml"/><Relationship Id="rId17" Type="http://schemas.openxmlformats.org/officeDocument/2006/relationships/styles" Target="styles.xml"/><Relationship Id="rId16" Type="http://schemas.openxmlformats.org/officeDocument/2006/relationships/settings" Target="settings.xml"/><Relationship Id="rId15" Type="http://schemas.openxmlformats.org/officeDocument/2006/relationships/webSettings" Target="webSettings.xml"/><Relationship Id="rId14" Type="http://schemas.openxmlformats.org/officeDocument/2006/relationships/fontTable" Target="fontTable.xml"/><Relationship Id="rId13" Type="http://schemas.openxmlformats.org/officeDocument/2006/relationships/theme" Target="theme/theme1.xml"/><Relationship Id="rId12" Type="http://schemas.openxmlformats.org/officeDocument/2006/relationships/footnotes" Target="footnotes.xml"/><Relationship Id="rId11" Type="http://schemas.openxmlformats.org/officeDocument/2006/relationships/comments" Target="comment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2026-02-25T17:56:15Z</dcterms:created>
  <dcterms:modified xsi:type="dcterms:W3CDTF">2026-02-25T17:56:15Z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