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program-szkolenia"/>
    <w:p>
      <w:pPr>
        <w:pStyle w:val="Heading1"/>
      </w:pPr>
      <w:r>
        <w:t xml:space="preserve">PROGRAM SZKOLENIA</w:t>
      </w:r>
    </w:p>
    <w:bookmarkStart w:id="20" w:name="senior-bezpieczny-w-sieci-2.0"/>
    <w:p>
      <w:pPr>
        <w:pStyle w:val="Heading2"/>
      </w:pPr>
      <w:r>
        <w:t xml:space="preserve">Senior Bezpieczny w Sieci 2.0</w:t>
      </w:r>
    </w:p>
    <w:bookmarkStart w:id="19" w:name="Xc11a2d513a921e1a1ff87ae63eb565123dddf70"/>
    <w:p>
      <w:pPr>
        <w:pStyle w:val="Heading3"/>
      </w:pPr>
      <w:r>
        <w:t xml:space="preserve">Warsztat IV — Bezpieczna bankowość i bezpieczne zakupy online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Projekt:</w:t>
      </w:r>
      <w:r>
        <w:t xml:space="preserve"> </w:t>
      </w:r>
      <w:r>
        <w:t xml:space="preserve">Senior Bezpieczny w Sieci 2.0</w:t>
      </w:r>
      <w:r>
        <w:t xml:space="preserve"> </w:t>
      </w:r>
      <w:r>
        <w:rPr>
          <w:b/>
          <w:bCs/>
        </w:rPr>
        <w:t xml:space="preserve">Realizator:</w:t>
      </w:r>
      <w:r>
        <w:t xml:space="preserve"> </w:t>
      </w:r>
      <w:r>
        <w:t xml:space="preserve">Społeczna Grupa Medialna Sp. z o.o.</w:t>
      </w:r>
      <w:r>
        <w:t xml:space="preserve"> </w:t>
      </w:r>
      <w:r>
        <w:rPr>
          <w:b/>
          <w:bCs/>
        </w:rPr>
        <w:t xml:space="preserve">Finansowanie:</w:t>
      </w:r>
      <w:r>
        <w:t xml:space="preserve"> </w:t>
      </w:r>
      <w:r>
        <w:t xml:space="preserve">Program rządowy „Aktywni+” na rzecz Osób Starszych na lata 2021–2025. Edycja 2025</w:t>
      </w:r>
      <w:r>
        <w:t xml:space="preserve"> </w:t>
      </w:r>
      <w:r>
        <w:rPr>
          <w:b/>
          <w:bCs/>
        </w:rPr>
        <w:t xml:space="preserve">Numer warsztatu:</w:t>
      </w:r>
      <w:r>
        <w:t xml:space="preserve"> </w:t>
      </w:r>
      <w:r>
        <w:t xml:space="preserve">4 z 5</w:t>
      </w:r>
      <w:r>
        <w:t xml:space="preserve"> </w:t>
      </w:r>
      <w:r>
        <w:rPr>
          <w:b/>
          <w:bCs/>
        </w:rPr>
        <w:t xml:space="preserve">Czas trwania:</w:t>
      </w:r>
      <w:r>
        <w:t xml:space="preserve"> </w:t>
      </w:r>
      <w:r>
        <w:t xml:space="preserve">3 godziny zegarowe (180 minut)</w:t>
      </w:r>
      <w:r>
        <w:t xml:space="preserve"> </w:t>
      </w:r>
      <w:r>
        <w:rPr>
          <w:b/>
          <w:bCs/>
        </w:rPr>
        <w:t xml:space="preserve">Grupa docelowa:</w:t>
      </w:r>
      <w:r>
        <w:t xml:space="preserve"> </w:t>
      </w:r>
      <w:r>
        <w:t xml:space="preserve">Osoby 60+ z gmin wiejskich i miejsko-wiejskich woj. śląskiego</w:t>
      </w:r>
      <w:r>
        <w:t xml:space="preserve"> </w:t>
      </w:r>
      <w:r>
        <w:rPr>
          <w:b/>
          <w:bCs/>
        </w:rPr>
        <w:t xml:space="preserve">Liczba uczestników w grupie:</w:t>
      </w:r>
      <w:r>
        <w:t xml:space="preserve"> </w:t>
      </w:r>
      <w:r>
        <w:t xml:space="preserve">8–12 osób</w:t>
      </w:r>
      <w:r>
        <w:t xml:space="preserve"> </w:t>
      </w:r>
      <w:r>
        <w:rPr>
          <w:b/>
          <w:bCs/>
        </w:rPr>
        <w:t xml:space="preserve">Kadra:</w:t>
      </w:r>
      <w:r>
        <w:t xml:space="preserve"> </w:t>
      </w:r>
      <w:r>
        <w:t xml:space="preserve">Trener (min. 2-letnie doświadczenie w pracy z osobami 60+) + wolontariusz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1" w:name="cel-główny"/>
    <w:p>
      <w:pPr>
        <w:pStyle w:val="Heading2"/>
      </w:pPr>
      <w:r>
        <w:t xml:space="preserve">1. Cel główny</w:t>
      </w:r>
    </w:p>
    <w:p>
      <w:pPr>
        <w:pStyle w:val="FirstParagraph"/>
      </w:pPr>
      <w:r>
        <w:t xml:space="preserve">Po zakończeniu warsztatu uczestnik bezpiecznie korzysta z bankowości internetowej i mobilnej oraz potrafi zweryfikować wiarygodność sklepu internetowego przed dokonaniem zakupu.</w:t>
      </w:r>
    </w:p>
    <w:bookmarkEnd w:id="21"/>
    <w:bookmarkStart w:id="22" w:name="cele-szczegółowe-efekty-uczenia-się"/>
    <w:p>
      <w:pPr>
        <w:pStyle w:val="Heading2"/>
      </w:pPr>
      <w:r>
        <w:t xml:space="preserve">2. Cele szczegółowe (efekty uczenia się)</w:t>
      </w:r>
    </w:p>
    <w:p>
      <w:pPr>
        <w:pStyle w:val="FirstParagraph"/>
      </w:pPr>
      <w:r>
        <w:t xml:space="preserve">Po zakończeniu warsztatu uczestnik: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Wymienia</w:t>
      </w:r>
      <w:r>
        <w:t xml:space="preserve"> </w:t>
      </w:r>
      <w:r>
        <w:t xml:space="preserve">zasady bezpiecznego logowania do banku — nie korzysta z publicznego Wi-Fi, sprawdza adres strony, nie zapisuje hasła w przeglądarce.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Obsługuje</w:t>
      </w:r>
      <w:r>
        <w:t xml:space="preserve"> </w:t>
      </w:r>
      <w:r>
        <w:t xml:space="preserve">podstawowe funkcje bankowości internetowej — sprawdzenie salda, historia transakcji, ustawienie limitów dziennych.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Wyjaśnia</w:t>
      </w:r>
      <w:r>
        <w:t xml:space="preserve">, czym jest BLIK — wie, jak generować kod, potwierdzać transakcje i jakie są zagrożenia związane z przekazywaniem kodu BLIK.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Weryfikuje</w:t>
      </w:r>
      <w:r>
        <w:t xml:space="preserve"> </w:t>
      </w:r>
      <w:r>
        <w:t xml:space="preserve">wiarygodność sklepu internetowego — sprawdza opinie, dane kontaktowe firmy, politykę zwrotów, certyfikat SSL.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Przeprowadza</w:t>
      </w:r>
      <w:r>
        <w:t xml:space="preserve"> </w:t>
      </w:r>
      <w:r>
        <w:t xml:space="preserve">bezpieczny proces zakupu online krok po kroku — od wyboru produktu po potwierdzenie transakcji.</w:t>
      </w:r>
    </w:p>
    <w:bookmarkEnd w:id="22"/>
    <w:bookmarkStart w:id="23" w:name="ramowy-harmonogram"/>
    <w:p>
      <w:pPr>
        <w:pStyle w:val="Heading2"/>
      </w:pPr>
      <w:r>
        <w:t xml:space="preserve">3. Ramowy harmonogram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827"/>
        <w:gridCol w:w="3249"/>
        <w:gridCol w:w="1624"/>
        <w:gridCol w:w="121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Godzina</w:t>
            </w:r>
          </w:p>
        </w:tc>
        <w:tc>
          <w:tcPr/>
          <w:p>
            <w:pPr>
              <w:pStyle w:val="Compact"/>
            </w:pPr>
            <w:r>
              <w:t xml:space="preserve">Blok tematyczny</w:t>
            </w:r>
          </w:p>
        </w:tc>
        <w:tc>
          <w:tcPr/>
          <w:p>
            <w:pPr>
              <w:pStyle w:val="Compact"/>
            </w:pPr>
            <w:r>
              <w:t xml:space="preserve">Metoda</w:t>
            </w:r>
          </w:p>
        </w:tc>
        <w:tc>
          <w:tcPr/>
          <w:p>
            <w:pPr>
              <w:pStyle w:val="Compact"/>
            </w:pPr>
            <w:r>
              <w:t xml:space="preserve">Czas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0:00–0:15</w:t>
            </w:r>
          </w:p>
        </w:tc>
        <w:tc>
          <w:tcPr/>
          <w:p>
            <w:pPr>
              <w:pStyle w:val="Compact"/>
            </w:pPr>
            <w:r>
              <w:t xml:space="preserve">Powitanie — kawa, rozmowa o doświadczeniach od ostatniego warsztatu; pytanie: kto korzysta z bankowości internetowej? kto robi zakupy online?</w:t>
            </w:r>
          </w:p>
        </w:tc>
        <w:tc>
          <w:tcPr/>
          <w:p>
            <w:pPr>
              <w:pStyle w:val="Compact"/>
            </w:pPr>
            <w:r>
              <w:t xml:space="preserve">Dyskusja</w:t>
            </w:r>
          </w:p>
        </w:tc>
        <w:tc>
          <w:tcPr/>
          <w:p>
            <w:pPr>
              <w:pStyle w:val="Compac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0:15–0:45</w:t>
            </w:r>
          </w:p>
        </w:tc>
        <w:tc>
          <w:tcPr/>
          <w:p>
            <w:pPr>
              <w:pStyle w:val="Compact"/>
            </w:pPr>
            <w:r>
              <w:t xml:space="preserve">Bezpieczna bankowość internetowa — czym jest e-banking, bezpieczne logowanie, unikanie publicznych sieci Wi-Fi, rozpoznawanie fałszywych stron banku, zagrożenia</w:t>
            </w:r>
          </w:p>
        </w:tc>
        <w:tc>
          <w:tcPr/>
          <w:p>
            <w:pPr>
              <w:pStyle w:val="Compact"/>
            </w:pPr>
            <w:r>
              <w:t xml:space="preserve">Prezentacja multimedialna, dyskusja</w:t>
            </w:r>
          </w:p>
        </w:tc>
        <w:tc>
          <w:tcPr/>
          <w:p>
            <w:pPr>
              <w:pStyle w:val="Compact"/>
            </w:pPr>
            <w:r>
              <w:t xml:space="preserve">30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0:45–0:55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0:55–1:15</w:t>
            </w:r>
          </w:p>
        </w:tc>
        <w:tc>
          <w:tcPr/>
          <w:p>
            <w:pPr>
              <w:pStyle w:val="Compact"/>
            </w:pPr>
            <w:r>
              <w:t xml:space="preserve">System BLIK — jak działa, generowanie kodu, potwierdzanie transakcji; zagrożenia — nigdy nie podawaj kodu BLIK obcym; oszustwa „na BLIK”</w:t>
            </w:r>
          </w:p>
        </w:tc>
        <w:tc>
          <w:tcPr/>
          <w:p>
            <w:pPr>
              <w:pStyle w:val="Compact"/>
            </w:pPr>
            <w:r>
              <w:t xml:space="preserve">Prezentacja, demonstracja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1:15–1:35</w:t>
            </w:r>
          </w:p>
        </w:tc>
        <w:tc>
          <w:tcPr/>
          <w:p>
            <w:pPr>
              <w:pStyle w:val="Compact"/>
            </w:pPr>
            <w:r>
              <w:t xml:space="preserve">Ćwiczenie praktyczne 1 — korzystanie z bankowości internetowej: sprawdzanie salda, historia transakcji, ustawianie limitów</w:t>
            </w:r>
          </w:p>
        </w:tc>
        <w:tc>
          <w:tcPr/>
          <w:p>
            <w:pPr>
              <w:pStyle w:val="Compact"/>
            </w:pPr>
            <w:r>
              <w:t xml:space="preserve">Ćwiczenie na urządzeniach, instruktaż krok po kroku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1:35–1:50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 cateringowa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1:50–2:15</w:t>
            </w:r>
          </w:p>
        </w:tc>
        <w:tc>
          <w:tcPr/>
          <w:p>
            <w:pPr>
              <w:pStyle w:val="Compact"/>
            </w:pPr>
            <w:r>
              <w:t xml:space="preserve">Bezpieczne zakupy online — jak rozpoznać wiarygodny sklep (opinie, dane kontaktowe, NIP, regulamin, polityka zwrotów, SSL); sygnały ostrzegawcze</w:t>
            </w:r>
          </w:p>
        </w:tc>
        <w:tc>
          <w:tcPr/>
          <w:p>
            <w:pPr>
              <w:pStyle w:val="Compact"/>
            </w:pPr>
            <w:r>
              <w:t xml:space="preserve">Prezentacja, studium przypadku</w:t>
            </w:r>
          </w:p>
        </w:tc>
        <w:tc>
          <w:tcPr/>
          <w:p>
            <w:pPr>
              <w:pStyle w:val="Compac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2:15–2:40</w:t>
            </w:r>
          </w:p>
        </w:tc>
        <w:tc>
          <w:tcPr/>
          <w:p>
            <w:pPr>
              <w:pStyle w:val="Compact"/>
            </w:pPr>
            <w:r>
              <w:t xml:space="preserve">Ćwiczenie praktyczne 2 — zakupy online krok po kroku; każdy uczestnik wybiera produkt, dodaje do koszyka, przechodzi proces (bez finalizacji); omówienie</w:t>
            </w:r>
          </w:p>
        </w:tc>
        <w:tc>
          <w:tcPr/>
          <w:p>
            <w:pPr>
              <w:pStyle w:val="Compact"/>
            </w:pPr>
            <w:r>
              <w:t xml:space="preserve">Ćwiczenie na urządzeniach, omówienie grupowe</w:t>
            </w:r>
          </w:p>
        </w:tc>
        <w:tc>
          <w:tcPr/>
          <w:p>
            <w:pPr>
              <w:pStyle w:val="Compac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2:40–2:50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2:50–3:00</w:t>
            </w:r>
          </w:p>
        </w:tc>
        <w:tc>
          <w:tcPr/>
          <w:p>
            <w:pPr>
              <w:pStyle w:val="Compact"/>
            </w:pPr>
            <w:r>
              <w:t xml:space="preserve">Podsumowanie — kluczowe zasady, dyskusja o doświadczeniach, pytania, informacja o „Cyberlinii dla seniora”, zapowiedź warsztatu 5</w:t>
            </w:r>
          </w:p>
        </w:tc>
        <w:tc>
          <w:tcPr/>
          <w:p>
            <w:pPr>
              <w:pStyle w:val="Compact"/>
            </w:pPr>
            <w:r>
              <w:t xml:space="preserve">Dyskusja</w:t>
            </w:r>
          </w:p>
        </w:tc>
        <w:tc>
          <w:tcPr/>
          <w:p>
            <w:pPr>
              <w:pStyle w:val="Compact"/>
            </w:pPr>
            <w:r>
              <w:t xml:space="preserve">10 min</w:t>
            </w:r>
          </w:p>
        </w:tc>
      </w:tr>
    </w:tbl>
    <w:p>
      <w:pPr>
        <w:pStyle w:val="BodyText"/>
      </w:pPr>
      <w:r>
        <w:rPr>
          <w:b/>
          <w:bCs/>
        </w:rPr>
        <w:t xml:space="preserve">Łączny czas przerw: 35 minut. Łączny czas dydaktyczny: 145 minut.</w:t>
      </w:r>
    </w:p>
    <w:bookmarkEnd w:id="23"/>
    <w:bookmarkStart w:id="24" w:name="metody-pracy"/>
    <w:p>
      <w:pPr>
        <w:pStyle w:val="Heading2"/>
      </w:pPr>
      <w:r>
        <w:t xml:space="preserve">4. Metody pracy</w:t>
      </w:r>
    </w:p>
    <w:p>
      <w:pPr>
        <w:pStyle w:val="Compact"/>
        <w:numPr>
          <w:ilvl w:val="0"/>
          <w:numId w:val="1002"/>
        </w:numPr>
      </w:pPr>
      <w:r>
        <w:t xml:space="preserve">Prezentacja multimedialna (rzutnik + komputer)</w:t>
      </w:r>
    </w:p>
    <w:p>
      <w:pPr>
        <w:pStyle w:val="Compact"/>
        <w:numPr>
          <w:ilvl w:val="0"/>
          <w:numId w:val="1002"/>
        </w:numPr>
      </w:pPr>
      <w:r>
        <w:t xml:space="preserve">Dyskusja moderowana — wymiana doświadczeń uczestników</w:t>
      </w:r>
    </w:p>
    <w:p>
      <w:pPr>
        <w:pStyle w:val="Compact"/>
        <w:numPr>
          <w:ilvl w:val="0"/>
          <w:numId w:val="1002"/>
        </w:numPr>
      </w:pPr>
      <w:r>
        <w:t xml:space="preserve">Demonstracja na żywo — logowanie do banku, obsługa BLIK</w:t>
      </w:r>
    </w:p>
    <w:p>
      <w:pPr>
        <w:pStyle w:val="Compact"/>
        <w:numPr>
          <w:ilvl w:val="0"/>
          <w:numId w:val="1002"/>
        </w:numPr>
      </w:pPr>
      <w:r>
        <w:t xml:space="preserve">Ćwiczenia praktyczne krok po kroku na urządzeniach uczestników (zasada BYOD)</w:t>
      </w:r>
    </w:p>
    <w:p>
      <w:pPr>
        <w:pStyle w:val="Compact"/>
        <w:numPr>
          <w:ilvl w:val="0"/>
          <w:numId w:val="1002"/>
        </w:numPr>
      </w:pPr>
      <w:r>
        <w:t xml:space="preserve">Studium przypadku — analiza wiarygodnych i podejrzanych sklepów</w:t>
      </w:r>
    </w:p>
    <w:bookmarkEnd w:id="24"/>
    <w:bookmarkStart w:id="25" w:name="materiały-szkoleniowe"/>
    <w:p>
      <w:pPr>
        <w:pStyle w:val="Heading2"/>
      </w:pPr>
      <w:r>
        <w:t xml:space="preserve">5. Materiały szkoleniowe</w:t>
      </w:r>
    </w:p>
    <w:p>
      <w:pPr>
        <w:pStyle w:val="Compact"/>
        <w:numPr>
          <w:ilvl w:val="0"/>
          <w:numId w:val="1003"/>
        </w:numPr>
      </w:pPr>
      <w:r>
        <w:t xml:space="preserve">Prezentacja multimedialna „Bezpieczna bankowość i bezpieczne zakupy online” (32 slajdy)</w:t>
      </w:r>
    </w:p>
    <w:p>
      <w:pPr>
        <w:pStyle w:val="Compact"/>
        <w:numPr>
          <w:ilvl w:val="0"/>
          <w:numId w:val="1003"/>
        </w:numPr>
      </w:pPr>
      <w:r>
        <w:t xml:space="preserve">Materiały drukowane — lista kontrolna: jak sprawdzić sklep internetowy (duża czcionka)</w:t>
      </w:r>
    </w:p>
    <w:p>
      <w:pPr>
        <w:pStyle w:val="Compact"/>
        <w:numPr>
          <w:ilvl w:val="0"/>
          <w:numId w:val="1003"/>
        </w:numPr>
      </w:pPr>
      <w:r>
        <w:t xml:space="preserve">Instrukcja krok po kroku: ustawianie limitów w banku, korzystanie z BLIK</w:t>
      </w:r>
    </w:p>
    <w:bookmarkEnd w:id="25"/>
    <w:bookmarkStart w:id="26" w:name="środki-dydaktyczne"/>
    <w:p>
      <w:pPr>
        <w:pStyle w:val="Heading2"/>
      </w:pPr>
      <w:r>
        <w:t xml:space="preserve">6. Środki dydaktyczne</w:t>
      </w:r>
    </w:p>
    <w:p>
      <w:pPr>
        <w:pStyle w:val="Compact"/>
        <w:numPr>
          <w:ilvl w:val="0"/>
          <w:numId w:val="1004"/>
        </w:numPr>
      </w:pPr>
      <w:r>
        <w:t xml:space="preserve">Komputer/laptop z prezentacją</w:t>
      </w:r>
    </w:p>
    <w:p>
      <w:pPr>
        <w:pStyle w:val="Compact"/>
        <w:numPr>
          <w:ilvl w:val="0"/>
          <w:numId w:val="1004"/>
        </w:numPr>
      </w:pPr>
      <w:r>
        <w:t xml:space="preserve">Rzutnik / tablica interaktywna</w:t>
      </w:r>
    </w:p>
    <w:p>
      <w:pPr>
        <w:pStyle w:val="Compact"/>
        <w:numPr>
          <w:ilvl w:val="0"/>
          <w:numId w:val="1004"/>
        </w:numPr>
      </w:pPr>
      <w:r>
        <w:t xml:space="preserve">Dostęp do Internetu (Wi-Fi lub Internet przenośny)</w:t>
      </w:r>
    </w:p>
    <w:p>
      <w:pPr>
        <w:pStyle w:val="Compact"/>
        <w:numPr>
          <w:ilvl w:val="0"/>
          <w:numId w:val="1004"/>
        </w:numPr>
      </w:pPr>
      <w:r>
        <w:t xml:space="preserve">Tablety SGM (dla uczestników bez własnych urządzeń)</w:t>
      </w:r>
    </w:p>
    <w:p>
      <w:pPr>
        <w:pStyle w:val="Compact"/>
        <w:numPr>
          <w:ilvl w:val="0"/>
          <w:numId w:val="1004"/>
        </w:numPr>
      </w:pPr>
      <w:r>
        <w:t xml:space="preserve">Przedłużacze, ładowarki</w:t>
      </w:r>
    </w:p>
    <w:bookmarkEnd w:id="26"/>
    <w:bookmarkStart w:id="27" w:name="ewaluacja"/>
    <w:p>
      <w:pPr>
        <w:pStyle w:val="Heading2"/>
      </w:pPr>
      <w:r>
        <w:t xml:space="preserve">7. Ewaluacja</w:t>
      </w:r>
    </w:p>
    <w:p>
      <w:pPr>
        <w:pStyle w:val="Compact"/>
        <w:numPr>
          <w:ilvl w:val="0"/>
          <w:numId w:val="1005"/>
        </w:numPr>
      </w:pPr>
      <w:r>
        <w:t xml:space="preserve">Obserwacja aktywności uczestników podczas ćwiczeń praktycznych</w:t>
      </w:r>
    </w:p>
    <w:p>
      <w:pPr>
        <w:pStyle w:val="Compact"/>
        <w:numPr>
          <w:ilvl w:val="0"/>
          <w:numId w:val="1005"/>
        </w:numPr>
      </w:pPr>
      <w:r>
        <w:t xml:space="preserve">Weryfikacja — czy uczestnik samodzielnie przeszedł proces zakupu i sprawdził wiarygodność sklepu</w:t>
      </w:r>
    </w:p>
    <w:p>
      <w:pPr>
        <w:pStyle w:val="Compact"/>
        <w:numPr>
          <w:ilvl w:val="0"/>
          <w:numId w:val="1005"/>
        </w:numPr>
      </w:pPr>
      <w:r>
        <w:t xml:space="preserve">Pytania kontrolne w trakcie zajęć</w:t>
      </w:r>
    </w:p>
    <w:bookmarkEnd w:id="27"/>
    <w:bookmarkStart w:id="28" w:name="wsparcie-po-szkoleniu"/>
    <w:p>
      <w:pPr>
        <w:pStyle w:val="Heading2"/>
      </w:pPr>
      <w:r>
        <w:t xml:space="preserve">8. Wsparcie po szkoleniu</w:t>
      </w:r>
    </w:p>
    <w:p>
      <w:pPr>
        <w:pStyle w:val="Compact"/>
        <w:numPr>
          <w:ilvl w:val="0"/>
          <w:numId w:val="1006"/>
        </w:numPr>
      </w:pPr>
      <w:r>
        <w:t xml:space="preserve">„Cyberlinia dla seniora” — infolinia wsparcia</w:t>
      </w:r>
    </w:p>
    <w:p>
      <w:pPr>
        <w:pStyle w:val="Compact"/>
        <w:numPr>
          <w:ilvl w:val="0"/>
          <w:numId w:val="1006"/>
        </w:numPr>
      </w:pPr>
      <w:r>
        <w:t xml:space="preserve">Instrukcja krok po kroku do zabrania do domu</w:t>
      </w:r>
    </w:p>
    <w:p>
      <w:pPr>
        <w:pStyle w:val="Compact"/>
        <w:numPr>
          <w:ilvl w:val="0"/>
          <w:numId w:val="1006"/>
        </w:numPr>
      </w:pPr>
      <w:r>
        <w:t xml:space="preserve">Materiały warsztatowe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Projekt dofinansowany ze środków rządowego programu wieloletniego na rzecz Osób Starszych „Aktywni+” na lata 2021–2025. Edycja 2025.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2026-02-25T17:56:15Z</dcterms:created>
  <dcterms:modified xsi:type="dcterms:W3CDTF">2026-02-25T17:56:15Z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